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left"/>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3</w:t>
      </w:r>
      <w:bookmarkStart w:id="0" w:name="_GoBack"/>
      <w:bookmarkEnd w:id="0"/>
    </w:p>
    <w:p>
      <w:pPr>
        <w:spacing w:line="579" w:lineRule="exact"/>
        <w:jc w:val="left"/>
        <w:rPr>
          <w:rFonts w:hint="eastAsia" w:ascii="方正黑体_GBK" w:hAnsi="方正黑体_GBK" w:eastAsia="方正黑体_GBK" w:cs="方正黑体_GBK"/>
          <w:sz w:val="32"/>
          <w:szCs w:val="32"/>
        </w:rPr>
      </w:pPr>
    </w:p>
    <w:p>
      <w:pPr>
        <w:spacing w:line="579" w:lineRule="exact"/>
        <w:jc w:val="center"/>
        <w:rPr>
          <w:rFonts w:ascii="Times New Roman" w:hAnsi="Times New Roman" w:eastAsia="方正小标宋简体"/>
          <w:sz w:val="44"/>
        </w:rPr>
      </w:pPr>
      <w:r>
        <w:rPr>
          <w:rFonts w:ascii="Times New Roman" w:hAnsi="Times New Roman" w:eastAsia="方正小标宋简体"/>
          <w:sz w:val="44"/>
        </w:rPr>
        <w:t>指标内涵说明</w:t>
      </w:r>
    </w:p>
    <w:p>
      <w:pPr>
        <w:spacing w:line="579" w:lineRule="exact"/>
        <w:ind w:firstLine="640" w:firstLineChars="200"/>
        <w:jc w:val="left"/>
        <w:rPr>
          <w:rFonts w:ascii="Times New Roman" w:hAnsi="Times New Roman" w:eastAsia="黑体"/>
          <w:sz w:val="32"/>
        </w:rPr>
      </w:pPr>
    </w:p>
    <w:p>
      <w:pPr>
        <w:spacing w:line="579" w:lineRule="exact"/>
        <w:ind w:firstLine="643" w:firstLineChars="200"/>
        <w:jc w:val="left"/>
        <w:rPr>
          <w:rFonts w:ascii="Times New Roman" w:hAnsi="Times New Roman" w:eastAsia="楷体"/>
          <w:b/>
          <w:sz w:val="32"/>
        </w:rPr>
      </w:pPr>
      <w:r>
        <w:rPr>
          <w:rFonts w:ascii="Times New Roman" w:hAnsi="Times New Roman" w:eastAsia="楷体"/>
          <w:b/>
          <w:sz w:val="32"/>
        </w:rPr>
        <w:t>(一)人才培养质量计分卡</w:t>
      </w:r>
    </w:p>
    <w:p>
      <w:pPr>
        <w:spacing w:line="579" w:lineRule="exact"/>
        <w:ind w:firstLine="640" w:firstLineChars="200"/>
        <w:jc w:val="left"/>
        <w:rPr>
          <w:rFonts w:ascii="Times New Roman" w:hAnsi="Times New Roman" w:eastAsia="仿宋_GB2312"/>
          <w:sz w:val="32"/>
        </w:rPr>
      </w:pPr>
      <w:r>
        <w:rPr>
          <w:rFonts w:ascii="Times New Roman" w:hAnsi="Times New Roman" w:eastAsia="仿宋_GB2312"/>
          <w:sz w:val="32"/>
        </w:rPr>
        <w:t>人才培养质量计分卡系综合衡量职业学校人才培养质量的管理评价工具，共采集7个指标，包括12个字段(表1)。</w:t>
      </w:r>
    </w:p>
    <w:p>
      <w:pPr>
        <w:spacing w:line="579" w:lineRule="exact"/>
        <w:ind w:firstLine="643" w:firstLineChars="200"/>
        <w:jc w:val="left"/>
        <w:rPr>
          <w:rFonts w:ascii="Times New Roman" w:hAnsi="Times New Roman" w:eastAsia="仿宋_GB2312"/>
          <w:b/>
          <w:sz w:val="32"/>
        </w:rPr>
      </w:pPr>
    </w:p>
    <w:tbl>
      <w:tblPr>
        <w:tblStyle w:val="7"/>
        <w:tblpPr w:leftFromText="180" w:rightFromText="180" w:vertAnchor="text" w:horzAnchor="page" w:tblpX="1724" w:tblpY="-490"/>
        <w:tblOverlap w:val="never"/>
        <w:tblW w:w="864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1"/>
        <w:gridCol w:w="3552"/>
        <w:gridCol w:w="1068"/>
        <w:gridCol w:w="1605"/>
        <w:gridCol w:w="15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8646" w:type="dxa"/>
            <w:gridSpan w:val="5"/>
            <w:tcBorders>
              <w:top w:val="nil"/>
              <w:left w:val="nil"/>
              <w:right w:val="nil"/>
            </w:tcBorders>
            <w:vAlign w:val="center"/>
          </w:tcPr>
          <w:p>
            <w:pPr>
              <w:tabs>
                <w:tab w:val="left" w:pos="958"/>
                <w:tab w:val="left" w:pos="1078"/>
              </w:tabs>
              <w:spacing w:line="540" w:lineRule="exact"/>
              <w:jc w:val="center"/>
              <w:outlineLvl w:val="5"/>
              <w:rPr>
                <w:rFonts w:ascii="黑体" w:hAnsi="黑体" w:eastAsia="黑体" w:cs="黑体"/>
                <w:spacing w:val="3"/>
                <w:sz w:val="31"/>
                <w:szCs w:val="31"/>
              </w:rPr>
            </w:pPr>
            <w:r>
              <w:rPr>
                <w:rFonts w:ascii="黑体" w:hAnsi="黑体" w:eastAsia="黑体" w:cs="黑体"/>
                <w:spacing w:val="3"/>
                <w:sz w:val="31"/>
                <w:szCs w:val="31"/>
              </w:rPr>
              <w:t>表</w:t>
            </w:r>
            <w:r>
              <w:rPr>
                <w:rFonts w:ascii="Times New Roman" w:hAnsi="Times New Roman" w:eastAsia="Times New Roman" w:cs="Times New Roman"/>
                <w:spacing w:val="3"/>
                <w:sz w:val="31"/>
                <w:szCs w:val="31"/>
              </w:rPr>
              <w:t>1</w:t>
            </w:r>
            <w:r>
              <w:rPr>
                <w:rFonts w:ascii="黑体" w:hAnsi="黑体" w:eastAsia="黑体" w:cs="黑体"/>
                <w:spacing w:val="3"/>
                <w:sz w:val="31"/>
                <w:szCs w:val="31"/>
              </w:rPr>
              <w:t>人才培养质量计分卡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831" w:type="dxa"/>
          </w:tcPr>
          <w:p>
            <w:pPr>
              <w:spacing w:before="77" w:line="223" w:lineRule="auto"/>
              <w:ind w:left="127"/>
              <w:outlineLvl w:val="1"/>
              <w:rPr>
                <w:rFonts w:ascii="黑体" w:hAnsi="黑体" w:eastAsia="黑体" w:cs="黑体"/>
                <w:sz w:val="24"/>
                <w:szCs w:val="24"/>
              </w:rPr>
            </w:pPr>
            <w:r>
              <w:rPr>
                <w:rFonts w:ascii="黑体" w:hAnsi="黑体" w:eastAsia="黑体" w:cs="黑体"/>
                <w:spacing w:val="-5"/>
                <w:sz w:val="24"/>
                <w:szCs w:val="24"/>
              </w:rPr>
              <w:t>序号</w:t>
            </w:r>
          </w:p>
        </w:tc>
        <w:tc>
          <w:tcPr>
            <w:tcW w:w="3552" w:type="dxa"/>
          </w:tcPr>
          <w:p>
            <w:pPr>
              <w:spacing w:before="77" w:line="223" w:lineRule="auto"/>
              <w:jc w:val="center"/>
              <w:outlineLvl w:val="1"/>
              <w:rPr>
                <w:rFonts w:ascii="黑体" w:hAnsi="黑体" w:eastAsia="黑体" w:cs="黑体"/>
                <w:sz w:val="24"/>
                <w:szCs w:val="24"/>
              </w:rPr>
            </w:pPr>
            <w:r>
              <w:rPr>
                <w:rFonts w:ascii="黑体" w:hAnsi="黑体" w:eastAsia="黑体" w:cs="黑体"/>
                <w:spacing w:val="-5"/>
                <w:sz w:val="24"/>
                <w:szCs w:val="24"/>
              </w:rPr>
              <w:t>指标</w:t>
            </w:r>
          </w:p>
        </w:tc>
        <w:tc>
          <w:tcPr>
            <w:tcW w:w="1068" w:type="dxa"/>
          </w:tcPr>
          <w:p>
            <w:pPr>
              <w:spacing w:before="78" w:line="222" w:lineRule="auto"/>
              <w:jc w:val="center"/>
              <w:outlineLvl w:val="1"/>
              <w:rPr>
                <w:rFonts w:ascii="黑体" w:hAnsi="黑体" w:eastAsia="黑体" w:cs="黑体"/>
                <w:sz w:val="24"/>
                <w:szCs w:val="24"/>
              </w:rPr>
            </w:pPr>
            <w:r>
              <w:rPr>
                <w:rFonts w:ascii="黑体" w:hAnsi="黑体" w:eastAsia="黑体" w:cs="黑体"/>
                <w:spacing w:val="-8"/>
                <w:sz w:val="24"/>
                <w:szCs w:val="24"/>
              </w:rPr>
              <w:t>单位</w:t>
            </w:r>
          </w:p>
        </w:tc>
        <w:tc>
          <w:tcPr>
            <w:tcW w:w="1605" w:type="dxa"/>
            <w:vAlign w:val="center"/>
          </w:tcPr>
          <w:p>
            <w:pPr>
              <w:pStyle w:val="15"/>
              <w:jc w:val="center"/>
            </w:pPr>
            <w:r>
              <w:rPr>
                <w:rFonts w:ascii="Times New Roman" w:hAnsi="Times New Roman" w:eastAsia="Times New Roman" w:cs="Times New Roman"/>
                <w:spacing w:val="-2"/>
                <w:sz w:val="24"/>
                <w:szCs w:val="24"/>
              </w:rPr>
              <w:t>2023</w:t>
            </w:r>
            <w:r>
              <w:rPr>
                <w:rFonts w:ascii="黑体" w:hAnsi="黑体" w:eastAsia="黑体" w:cs="黑体"/>
                <w:spacing w:val="-2"/>
                <w:sz w:val="24"/>
                <w:szCs w:val="24"/>
              </w:rPr>
              <w:t>年</w:t>
            </w:r>
          </w:p>
        </w:tc>
        <w:tc>
          <w:tcPr>
            <w:tcW w:w="1590" w:type="dxa"/>
            <w:vAlign w:val="center"/>
          </w:tcPr>
          <w:p>
            <w:pPr>
              <w:pStyle w:val="15"/>
              <w:jc w:val="center"/>
              <w:rPr>
                <w:rFonts w:ascii="Times New Roman" w:hAnsi="Times New Roman" w:eastAsia="Times New Roman" w:cs="Times New Roman"/>
                <w:spacing w:val="-2"/>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31"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552"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3"/>
                <w:sz w:val="24"/>
                <w:szCs w:val="24"/>
              </w:rPr>
              <w:t>毕业生人数</w:t>
            </w:r>
            <w:r>
              <w:rPr>
                <w:rFonts w:ascii="Times New Roman" w:hAnsi="Times New Roman" w:eastAsia="Times New Roman" w:cs="Times New Roman"/>
                <w:spacing w:val="-3"/>
                <w:sz w:val="24"/>
                <w:szCs w:val="24"/>
              </w:rPr>
              <w:t>*</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31"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毕业去向落实人数</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31" w:type="dxa"/>
            <w:vMerge w:val="continue"/>
            <w:tcBorders>
              <w:top w:val="nil"/>
              <w:bottom w:val="nil"/>
            </w:tcBorders>
            <w:vAlign w:val="center"/>
          </w:tcPr>
          <w:p>
            <w:pPr>
              <w:pStyle w:val="15"/>
              <w:jc w:val="center"/>
            </w:pP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其中：毕业生升学人数</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Merge w:val="continue"/>
            <w:tcBorders>
              <w:top w:val="nil"/>
            </w:tcBorders>
            <w:vAlign w:val="center"/>
          </w:tcPr>
          <w:p>
            <w:pPr>
              <w:pStyle w:val="15"/>
              <w:jc w:val="center"/>
            </w:pP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升入本科人数</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毕业生本省去向落实率</w:t>
            </w:r>
          </w:p>
        </w:tc>
        <w:tc>
          <w:tcPr>
            <w:tcW w:w="1068" w:type="dxa"/>
            <w:vAlign w:val="center"/>
          </w:tcPr>
          <w:p>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831"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8"/>
                <w:sz w:val="24"/>
                <w:szCs w:val="24"/>
              </w:rPr>
              <w:t>月收入</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元</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毕业生面向三次产业就业人数</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Merge w:val="continue"/>
            <w:tcBorders>
              <w:top w:val="nil"/>
              <w:bottom w:val="nil"/>
            </w:tcBorders>
            <w:vAlign w:val="center"/>
          </w:tcPr>
          <w:p>
            <w:pPr>
              <w:pStyle w:val="15"/>
              <w:jc w:val="center"/>
            </w:pP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其中：面向第一产业</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Merge w:val="continue"/>
            <w:tcBorders>
              <w:top w:val="nil"/>
              <w:bottom w:val="nil"/>
            </w:tcBorders>
            <w:vAlign w:val="center"/>
          </w:tcPr>
          <w:p>
            <w:pPr>
              <w:pStyle w:val="15"/>
              <w:jc w:val="center"/>
            </w:pPr>
          </w:p>
        </w:tc>
        <w:tc>
          <w:tcPr>
            <w:tcW w:w="3552" w:type="dxa"/>
            <w:vAlign w:val="center"/>
          </w:tcPr>
          <w:p>
            <w:pPr>
              <w:ind w:left="819" w:leftChars="390"/>
              <w:rPr>
                <w:rFonts w:ascii="仿宋" w:hAnsi="仿宋" w:eastAsia="仿宋" w:cs="仿宋"/>
                <w:sz w:val="24"/>
                <w:szCs w:val="24"/>
              </w:rPr>
            </w:pPr>
            <w:r>
              <w:rPr>
                <w:rFonts w:ascii="仿宋" w:hAnsi="仿宋" w:eastAsia="仿宋" w:cs="仿宋"/>
                <w:spacing w:val="-4"/>
                <w:sz w:val="24"/>
                <w:szCs w:val="24"/>
              </w:rPr>
              <w:t>面向第二产业</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Merge w:val="continue"/>
            <w:tcBorders>
              <w:top w:val="nil"/>
            </w:tcBorders>
            <w:vAlign w:val="center"/>
          </w:tcPr>
          <w:p>
            <w:pPr>
              <w:pStyle w:val="15"/>
              <w:jc w:val="center"/>
            </w:pPr>
          </w:p>
        </w:tc>
        <w:tc>
          <w:tcPr>
            <w:tcW w:w="3552" w:type="dxa"/>
            <w:vAlign w:val="center"/>
          </w:tcPr>
          <w:p>
            <w:pPr>
              <w:ind w:left="819" w:leftChars="390"/>
              <w:rPr>
                <w:rFonts w:ascii="仿宋" w:hAnsi="仿宋" w:eastAsia="仿宋" w:cs="仿宋"/>
                <w:sz w:val="24"/>
                <w:szCs w:val="24"/>
              </w:rPr>
            </w:pPr>
            <w:r>
              <w:rPr>
                <w:rFonts w:ascii="仿宋" w:hAnsi="仿宋" w:eastAsia="仿宋" w:cs="仿宋"/>
                <w:spacing w:val="-4"/>
                <w:sz w:val="24"/>
                <w:szCs w:val="24"/>
              </w:rPr>
              <w:t>面向第三产业</w:t>
            </w:r>
          </w:p>
        </w:tc>
        <w:tc>
          <w:tcPr>
            <w:tcW w:w="1068"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831"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11"/>
                <w:sz w:val="24"/>
                <w:szCs w:val="24"/>
              </w:rPr>
              <w:t>自主创业率</w:t>
            </w:r>
          </w:p>
        </w:tc>
        <w:tc>
          <w:tcPr>
            <w:tcW w:w="1068" w:type="dxa"/>
            <w:vAlign w:val="center"/>
          </w:tcPr>
          <w:p>
            <w:pPr>
              <w:jc w:val="center"/>
              <w:outlineLvl w:val="2"/>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1605" w:type="dxa"/>
          </w:tcPr>
          <w:p>
            <w:pPr>
              <w:pStyle w:val="15"/>
            </w:pPr>
          </w:p>
        </w:tc>
        <w:tc>
          <w:tcPr>
            <w:tcW w:w="1590"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831"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3552"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毕业三年晋升比例</w:t>
            </w:r>
          </w:p>
        </w:tc>
        <w:tc>
          <w:tcPr>
            <w:tcW w:w="1068" w:type="dxa"/>
            <w:vAlign w:val="center"/>
          </w:tcPr>
          <w:p>
            <w:pPr>
              <w:jc w:val="center"/>
              <w:outlineLvl w:val="2"/>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1605" w:type="dxa"/>
          </w:tcPr>
          <w:p>
            <w:pPr>
              <w:pStyle w:val="15"/>
            </w:pPr>
          </w:p>
        </w:tc>
        <w:tc>
          <w:tcPr>
            <w:tcW w:w="1590" w:type="dxa"/>
          </w:tcPr>
          <w:p>
            <w:pPr>
              <w:pStyle w:val="15"/>
            </w:pPr>
          </w:p>
        </w:tc>
      </w:tr>
    </w:tbl>
    <w:p>
      <w:pPr>
        <w:spacing w:line="579" w:lineRule="exact"/>
        <w:ind w:firstLine="643" w:firstLineChars="200"/>
        <w:jc w:val="left"/>
        <w:rPr>
          <w:rFonts w:ascii="Times New Roman" w:hAnsi="Times New Roman" w:eastAsia="仿宋_GB2312"/>
          <w:b/>
          <w:sz w:val="32"/>
        </w:rPr>
      </w:pPr>
      <w:r>
        <w:rPr>
          <w:rFonts w:ascii="Times New Roman" w:hAnsi="Times New Roman" w:eastAsia="仿宋_GB2312"/>
          <w:b/>
          <w:sz w:val="32"/>
        </w:rPr>
        <w:t>1.毕业生人数*：</w:t>
      </w:r>
      <w:r>
        <w:rPr>
          <w:rFonts w:ascii="Times New Roman" w:hAnsi="Times New Roman" w:eastAsia="仿宋_GB2312"/>
          <w:bCs/>
          <w:sz w:val="32"/>
        </w:rPr>
        <w:t>指2023届毕业生总数。</w:t>
      </w:r>
    </w:p>
    <w:p>
      <w:pPr>
        <w:spacing w:line="579" w:lineRule="exact"/>
        <w:ind w:firstLine="643" w:firstLineChars="200"/>
        <w:jc w:val="left"/>
        <w:rPr>
          <w:rFonts w:ascii="仿宋_GB2312" w:hAnsi="Times New Roman" w:eastAsia="仿宋_GB2312"/>
          <w:b/>
          <w:sz w:val="32"/>
        </w:rPr>
      </w:pPr>
      <w:r>
        <w:rPr>
          <w:rFonts w:ascii="Times New Roman" w:hAnsi="Times New Roman" w:eastAsia="仿宋_GB2312"/>
          <w:b/>
          <w:color w:val="000000"/>
          <w:sz w:val="32"/>
        </w:rPr>
        <w:t>2.毕业生去向落实人数：</w:t>
      </w:r>
      <w:r>
        <w:rPr>
          <w:rFonts w:hint="eastAsia" w:ascii="仿宋_GB2312" w:hAnsi="Times New Roman" w:eastAsia="仿宋_GB2312"/>
          <w:color w:val="000000"/>
          <w:sz w:val="32"/>
        </w:rPr>
        <w:t>指已落实就业去向的2023届毕</w:t>
      </w:r>
      <w:r>
        <w:rPr>
          <w:rFonts w:hint="eastAsia" w:ascii="仿宋_GB2312" w:hAnsi="Times New Roman" w:eastAsia="仿宋_GB2312"/>
          <w:sz w:val="32"/>
        </w:rPr>
        <w:t>业生人数。根据《教育部办公厅关于进一步做好普通高校毕业生就业统计与核查工作的通知》(教学厅函〔2021〕19号)</w:t>
      </w:r>
      <w:r>
        <w:rPr>
          <w:rFonts w:hint="eastAsia" w:ascii="仿宋_GB2312" w:hAnsi="Times New Roman" w:eastAsia="仿宋_GB2312"/>
          <w:color w:val="000000"/>
          <w:sz w:val="32"/>
        </w:rPr>
        <w:t>文件要求，“就业率”变更为“毕业去向落实率”。落实就</w:t>
      </w:r>
      <w:r>
        <w:rPr>
          <w:rFonts w:hint="eastAsia" w:ascii="仿宋_GB2312" w:hAnsi="Times New Roman" w:eastAsia="仿宋_GB2312"/>
          <w:sz w:val="32"/>
        </w:rPr>
        <w:t>业去向毕业生包括签订就业协议就业、自主创业、灵活就业、参军、出国劳务和升学毕业生。毕业生升学人数指毕业生通过各种方式继续升学接受更高层次全日制教育的人数，包括毕业生出国升学；升入本科人数指毕业生进入普通本科院校、职业本科院校接受本科层次全日制教育，不包括出国升学的人数(统计截止时间为2023年12月31日)。</w:t>
      </w:r>
    </w:p>
    <w:p>
      <w:pPr>
        <w:spacing w:line="579" w:lineRule="exact"/>
        <w:ind w:firstLine="643" w:firstLineChars="200"/>
        <w:jc w:val="left"/>
        <w:rPr>
          <w:rFonts w:ascii="Times New Roman" w:hAnsi="Times New Roman" w:eastAsia="仿宋_GB2312"/>
          <w:b/>
          <w:sz w:val="32"/>
        </w:rPr>
      </w:pPr>
      <w:r>
        <w:rPr>
          <w:rFonts w:ascii="Times New Roman" w:hAnsi="Times New Roman" w:eastAsia="仿宋_GB2312"/>
          <w:b/>
          <w:color w:val="000000"/>
          <w:sz w:val="32"/>
        </w:rPr>
        <w:t>3.毕业生本省去向落实率：</w:t>
      </w:r>
      <w:r>
        <w:rPr>
          <w:rFonts w:ascii="Times New Roman" w:hAnsi="Times New Roman" w:eastAsia="仿宋_GB2312"/>
          <w:color w:val="000000"/>
          <w:sz w:val="32"/>
        </w:rPr>
        <w:t>指在本省落实就业去向</w:t>
      </w:r>
      <w:r>
        <w:rPr>
          <w:rFonts w:hint="eastAsia" w:ascii="Times New Roman" w:hAnsi="Times New Roman" w:eastAsia="仿宋_GB2312"/>
          <w:color w:val="000000"/>
          <w:sz w:val="32"/>
        </w:rPr>
        <w:t>毕</w:t>
      </w:r>
      <w:r>
        <w:rPr>
          <w:rFonts w:ascii="Times New Roman" w:hAnsi="Times New Roman" w:eastAsia="仿宋_GB2312"/>
          <w:color w:val="000000"/>
          <w:sz w:val="32"/>
        </w:rPr>
        <w:t>业</w:t>
      </w:r>
      <w:r>
        <w:rPr>
          <w:rFonts w:ascii="Times New Roman" w:hAnsi="Times New Roman" w:eastAsia="仿宋_GB2312"/>
          <w:sz w:val="32"/>
        </w:rPr>
        <w:t>生人数/毕业生人数×100%(统计截止时间为2023年12月31</w:t>
      </w:r>
      <w:r>
        <w:rPr>
          <w:rFonts w:ascii="Times New Roman" w:hAnsi="Times New Roman" w:eastAsia="仿宋_GB2312"/>
          <w:color w:val="000000"/>
          <w:sz w:val="32"/>
        </w:rPr>
        <w:t>日)。</w:t>
      </w:r>
    </w:p>
    <w:p>
      <w:pPr>
        <w:spacing w:line="579" w:lineRule="exact"/>
        <w:ind w:firstLine="643" w:firstLineChars="200"/>
        <w:jc w:val="left"/>
        <w:rPr>
          <w:rFonts w:ascii="Times New Roman" w:hAnsi="Times New Roman" w:eastAsia="仿宋_GB2312"/>
          <w:b/>
          <w:sz w:val="32"/>
        </w:rPr>
      </w:pPr>
      <w:r>
        <w:rPr>
          <w:rFonts w:ascii="Times New Roman" w:hAnsi="Times New Roman" w:eastAsia="仿宋_GB2312"/>
          <w:b/>
          <w:sz w:val="32"/>
        </w:rPr>
        <w:t>4.月收入：</w:t>
      </w:r>
      <w:r>
        <w:rPr>
          <w:rFonts w:ascii="Times New Roman" w:hAnsi="Times New Roman" w:eastAsia="仿宋_GB2312"/>
          <w:sz w:val="32"/>
        </w:rPr>
        <w:t>指2023届毕业生月收入平均水平，包含奖金、提成、住宿、住房公积金等折算成的现金总和(统计截止时间为2023年12月31日)。</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5.毕业生面向三次产业就业人数：</w:t>
      </w:r>
      <w:r>
        <w:rPr>
          <w:rFonts w:ascii="Times New Roman" w:hAnsi="Times New Roman" w:eastAsia="仿宋_GB2312"/>
          <w:color w:val="000000"/>
          <w:sz w:val="32"/>
        </w:rPr>
        <w:t>指2023届毕业生就业</w:t>
      </w:r>
      <w:r>
        <w:rPr>
          <w:rFonts w:ascii="Times New Roman" w:hAnsi="Times New Roman" w:eastAsia="仿宋_GB2312"/>
          <w:sz w:val="32"/>
        </w:rPr>
        <w:t>去向为第一、第二、第三产业的人数(统计截止时间为2023年12月31日)。</w:t>
      </w:r>
    </w:p>
    <w:p>
      <w:pPr>
        <w:spacing w:line="579" w:lineRule="exact"/>
        <w:ind w:firstLine="643" w:firstLineChars="200"/>
        <w:jc w:val="left"/>
        <w:rPr>
          <w:rFonts w:ascii="Times New Roman" w:hAnsi="Times New Roman" w:eastAsia="仿宋_GB2312"/>
          <w:b/>
          <w:sz w:val="32"/>
        </w:rPr>
      </w:pPr>
      <w:r>
        <w:rPr>
          <w:rFonts w:ascii="Times New Roman" w:hAnsi="Times New Roman" w:eastAsia="仿宋_GB2312"/>
          <w:b/>
          <w:sz w:val="32"/>
        </w:rPr>
        <w:t>6.自主创业率：</w:t>
      </w:r>
      <w:r>
        <w:rPr>
          <w:rFonts w:ascii="Times New Roman" w:hAnsi="Times New Roman" w:eastAsia="仿宋_GB2312"/>
          <w:sz w:val="32"/>
        </w:rPr>
        <w:t>指2023届毕业生创业人数/毕业生人数×100%(统计截止时间为2023年12月31日)。</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7.毕业三年晋升比例：</w:t>
      </w:r>
      <w:r>
        <w:rPr>
          <w:rFonts w:ascii="Times New Roman" w:hAnsi="Times New Roman" w:eastAsia="仿宋_GB2312"/>
          <w:color w:val="000000"/>
          <w:sz w:val="32"/>
        </w:rPr>
        <w:t>指本校2020届毕业生毕业三年后</w:t>
      </w:r>
      <w:r>
        <w:rPr>
          <w:rFonts w:ascii="Times New Roman" w:hAnsi="Times New Roman" w:eastAsia="仿宋_GB2312"/>
          <w:sz w:val="32"/>
        </w:rPr>
        <w:t>在工作岗位上有过职位晋升的比例。毕业三年后在工作岗位上有过职位晋升的本校2020届高职毕业生人数/本校2020届高职毕业生人数×100%。职位晋升形式可包含职级的增加、管理权限的扩大、专业职称的提升及由此带来的薪资提高。</w:t>
      </w:r>
    </w:p>
    <w:p>
      <w:pPr>
        <w:spacing w:line="579" w:lineRule="exact"/>
        <w:ind w:firstLine="643" w:firstLineChars="200"/>
        <w:jc w:val="left"/>
        <w:rPr>
          <w:rFonts w:ascii="Times New Roman" w:hAnsi="Times New Roman" w:eastAsia="楷体"/>
          <w:b/>
          <w:sz w:val="32"/>
        </w:rPr>
      </w:pPr>
      <w:r>
        <w:rPr>
          <w:rFonts w:hint="eastAsia" w:ascii="Times New Roman" w:hAnsi="Times New Roman" w:eastAsia="楷体"/>
          <w:b/>
          <w:sz w:val="32"/>
        </w:rPr>
        <w:t>(二)满意度调查表指标及内涵说明</w:t>
      </w:r>
    </w:p>
    <w:p>
      <w:pPr>
        <w:spacing w:line="579" w:lineRule="exact"/>
        <w:ind w:firstLine="640" w:firstLineChars="200"/>
        <w:rPr>
          <w:rFonts w:ascii="Times New Roman" w:hAnsi="Times New Roman" w:eastAsia="仿宋_GB2312"/>
          <w:sz w:val="32"/>
        </w:rPr>
      </w:pPr>
      <w:r>
        <w:rPr>
          <w:rFonts w:ascii="Times New Roman" w:hAnsi="Times New Roman" w:eastAsia="仿宋_GB2312"/>
          <w:sz w:val="32"/>
        </w:rPr>
        <w:t>满意度调查表系通过对职业教育各利益相关者的调查与反馈来反映职业学校育人成效的评价管理工具，共采集5个指标，包括12个字段(表2)。</w:t>
      </w:r>
    </w:p>
    <w:p>
      <w:pPr>
        <w:spacing w:line="579" w:lineRule="exact"/>
        <w:ind w:firstLine="640" w:firstLineChars="200"/>
        <w:rPr>
          <w:rFonts w:ascii="Times New Roman" w:hAnsi="Times New Roman" w:eastAsia="仿宋_GB2312"/>
          <w:sz w:val="32"/>
        </w:rPr>
      </w:pPr>
    </w:p>
    <w:tbl>
      <w:tblPr>
        <w:tblStyle w:val="16"/>
        <w:tblpPr w:leftFromText="180" w:rightFromText="180" w:vertAnchor="text" w:horzAnchor="page" w:tblpXSpec="center" w:tblpY="-1527"/>
        <w:tblOverlap w:val="never"/>
        <w:tblW w:w="863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3596"/>
        <w:gridCol w:w="705"/>
        <w:gridCol w:w="1293"/>
        <w:gridCol w:w="1185"/>
        <w:gridCol w:w="11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8635" w:type="dxa"/>
            <w:gridSpan w:val="6"/>
            <w:tcBorders>
              <w:top w:val="nil"/>
              <w:left w:val="nil"/>
              <w:right w:val="nil"/>
            </w:tcBorders>
          </w:tcPr>
          <w:p>
            <w:pPr>
              <w:spacing w:before="170" w:line="227" w:lineRule="auto"/>
              <w:ind w:left="2961"/>
              <w:outlineLvl w:val="2"/>
              <w:rPr>
                <w:rFonts w:ascii="黑体" w:hAnsi="黑体" w:eastAsia="黑体" w:cs="黑体"/>
                <w:spacing w:val="-3"/>
                <w:sz w:val="24"/>
                <w:szCs w:val="24"/>
              </w:rPr>
            </w:pPr>
            <w:r>
              <w:rPr>
                <w:rFonts w:ascii="黑体" w:hAnsi="黑体" w:eastAsia="黑体" w:cs="黑体"/>
                <w:spacing w:val="5"/>
                <w:sz w:val="31"/>
                <w:szCs w:val="31"/>
              </w:rPr>
              <w:t>表</w:t>
            </w:r>
            <w:r>
              <w:rPr>
                <w:rFonts w:ascii="Times New Roman" w:hAnsi="Times New Roman" w:eastAsia="Times New Roman" w:cs="Times New Roman"/>
                <w:spacing w:val="5"/>
                <w:sz w:val="31"/>
                <w:szCs w:val="31"/>
              </w:rPr>
              <w:t>2</w:t>
            </w:r>
            <w:r>
              <w:rPr>
                <w:rFonts w:ascii="黑体" w:hAnsi="黑体" w:eastAsia="黑体" w:cs="黑体"/>
                <w:spacing w:val="5"/>
                <w:sz w:val="31"/>
                <w:szCs w:val="31"/>
              </w:rPr>
              <w:t>满意度调查表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701" w:type="dxa"/>
            <w:vAlign w:val="center"/>
          </w:tcPr>
          <w:p>
            <w:pPr>
              <w:jc w:val="center"/>
              <w:outlineLvl w:val="1"/>
              <w:rPr>
                <w:rFonts w:ascii="黑体" w:hAnsi="黑体" w:eastAsia="黑体" w:cs="黑体"/>
                <w:sz w:val="24"/>
                <w:szCs w:val="24"/>
              </w:rPr>
            </w:pPr>
            <w:r>
              <w:rPr>
                <w:rFonts w:ascii="黑体" w:hAnsi="黑体" w:eastAsia="黑体" w:cs="黑体"/>
                <w:spacing w:val="-5"/>
                <w:sz w:val="24"/>
                <w:szCs w:val="24"/>
              </w:rPr>
              <w:t>序号</w:t>
            </w:r>
          </w:p>
        </w:tc>
        <w:tc>
          <w:tcPr>
            <w:tcW w:w="3596" w:type="dxa"/>
            <w:vAlign w:val="center"/>
          </w:tcPr>
          <w:p>
            <w:pPr>
              <w:jc w:val="center"/>
              <w:outlineLvl w:val="1"/>
              <w:rPr>
                <w:rFonts w:ascii="黑体" w:hAnsi="黑体" w:eastAsia="黑体" w:cs="黑体"/>
                <w:sz w:val="24"/>
                <w:szCs w:val="24"/>
              </w:rPr>
            </w:pPr>
            <w:r>
              <w:rPr>
                <w:rFonts w:ascii="黑体" w:hAnsi="黑体" w:eastAsia="黑体" w:cs="黑体"/>
                <w:spacing w:val="-5"/>
                <w:sz w:val="24"/>
                <w:szCs w:val="24"/>
              </w:rPr>
              <w:t>指标</w:t>
            </w:r>
          </w:p>
        </w:tc>
        <w:tc>
          <w:tcPr>
            <w:tcW w:w="705" w:type="dxa"/>
            <w:vAlign w:val="center"/>
          </w:tcPr>
          <w:p>
            <w:pPr>
              <w:jc w:val="center"/>
              <w:outlineLvl w:val="1"/>
              <w:rPr>
                <w:rFonts w:ascii="黑体" w:hAnsi="黑体" w:eastAsia="黑体" w:cs="黑体"/>
                <w:sz w:val="24"/>
                <w:szCs w:val="24"/>
              </w:rPr>
            </w:pPr>
            <w:r>
              <w:rPr>
                <w:rFonts w:ascii="黑体" w:hAnsi="黑体" w:eastAsia="黑体" w:cs="黑体"/>
                <w:spacing w:val="-8"/>
                <w:sz w:val="24"/>
                <w:szCs w:val="24"/>
              </w:rPr>
              <w:t>单位</w:t>
            </w:r>
          </w:p>
        </w:tc>
        <w:tc>
          <w:tcPr>
            <w:tcW w:w="1293" w:type="dxa"/>
            <w:vAlign w:val="center"/>
          </w:tcPr>
          <w:p>
            <w:pPr>
              <w:jc w:val="center"/>
              <w:outlineLvl w:val="1"/>
              <w:rPr>
                <w:rFonts w:ascii="黑体" w:hAnsi="黑体" w:eastAsia="黑体" w:cs="黑体"/>
                <w:sz w:val="24"/>
                <w:szCs w:val="24"/>
              </w:rPr>
            </w:pPr>
            <w:r>
              <w:rPr>
                <w:rFonts w:ascii="Times New Roman" w:hAnsi="Times New Roman" w:eastAsia="Times New Roman" w:cs="Times New Roman"/>
                <w:spacing w:val="-2"/>
                <w:sz w:val="24"/>
                <w:szCs w:val="24"/>
              </w:rPr>
              <w:t>2023</w:t>
            </w:r>
            <w:r>
              <w:rPr>
                <w:rFonts w:ascii="黑体" w:hAnsi="黑体" w:eastAsia="黑体" w:cs="黑体"/>
                <w:spacing w:val="-2"/>
                <w:sz w:val="24"/>
                <w:szCs w:val="24"/>
              </w:rPr>
              <w:t>年</w:t>
            </w:r>
          </w:p>
        </w:tc>
        <w:tc>
          <w:tcPr>
            <w:tcW w:w="1185" w:type="dxa"/>
            <w:vAlign w:val="center"/>
          </w:tcPr>
          <w:p>
            <w:pPr>
              <w:jc w:val="center"/>
              <w:outlineLvl w:val="1"/>
              <w:rPr>
                <w:rFonts w:ascii="黑体" w:hAnsi="黑体" w:eastAsia="黑体" w:cs="黑体"/>
                <w:sz w:val="24"/>
                <w:szCs w:val="24"/>
              </w:rPr>
            </w:pPr>
            <w:r>
              <w:rPr>
                <w:rFonts w:ascii="黑体" w:hAnsi="黑体" w:eastAsia="黑体" w:cs="黑体"/>
                <w:spacing w:val="-3"/>
                <w:sz w:val="24"/>
                <w:szCs w:val="24"/>
              </w:rPr>
              <w:t>调查人次</w:t>
            </w:r>
          </w:p>
        </w:tc>
        <w:tc>
          <w:tcPr>
            <w:tcW w:w="1155" w:type="dxa"/>
            <w:vAlign w:val="center"/>
          </w:tcPr>
          <w:p>
            <w:pPr>
              <w:jc w:val="center"/>
              <w:outlineLvl w:val="1"/>
              <w:rPr>
                <w:rFonts w:ascii="黑体" w:hAnsi="黑体" w:eastAsia="黑体" w:cs="黑体"/>
                <w:sz w:val="24"/>
                <w:szCs w:val="24"/>
              </w:rPr>
            </w:pPr>
            <w:r>
              <w:rPr>
                <w:rFonts w:ascii="黑体" w:hAnsi="黑体" w:eastAsia="黑体" w:cs="黑体"/>
                <w:spacing w:val="-3"/>
                <w:sz w:val="24"/>
                <w:szCs w:val="24"/>
              </w:rPr>
              <w:t>调查方式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restart"/>
            <w:tcBorders>
              <w:bottom w:val="nil"/>
            </w:tcBorders>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w:t>
            </w: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在校生满意度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continue"/>
            <w:tcBorders>
              <w:top w:val="nil"/>
              <w:bottom w:val="nil"/>
            </w:tcBorders>
            <w:vAlign w:val="center"/>
          </w:tcPr>
          <w:p>
            <w:pPr>
              <w:pStyle w:val="15"/>
              <w:jc w:val="center"/>
            </w:pP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w:t>
            </w:r>
            <w:r>
              <w:rPr>
                <w:rFonts w:hint="eastAsia" w:ascii="仿宋" w:hAnsi="仿宋" w:eastAsia="仿宋" w:cs="仿宋"/>
                <w:spacing w:val="-1"/>
                <w:sz w:val="24"/>
                <w:szCs w:val="24"/>
              </w:rPr>
              <w:t>:</w:t>
            </w:r>
            <w:r>
              <w:rPr>
                <w:rFonts w:ascii="仿宋" w:hAnsi="仿宋" w:eastAsia="仿宋" w:cs="仿宋"/>
                <w:spacing w:val="-1"/>
                <w:sz w:val="24"/>
                <w:szCs w:val="24"/>
              </w:rPr>
              <w:t>课堂育人满意度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continue"/>
            <w:tcBorders>
              <w:top w:val="nil"/>
              <w:bottom w:val="nil"/>
            </w:tcBorders>
            <w:vAlign w:val="center"/>
          </w:tcPr>
          <w:p>
            <w:pPr>
              <w:pStyle w:val="15"/>
              <w:jc w:val="center"/>
            </w:pPr>
          </w:p>
        </w:tc>
        <w:tc>
          <w:tcPr>
            <w:tcW w:w="3596" w:type="dxa"/>
            <w:vAlign w:val="center"/>
          </w:tcPr>
          <w:p>
            <w:pPr>
              <w:ind w:left="691" w:leftChars="329"/>
              <w:rPr>
                <w:rFonts w:ascii="仿宋" w:hAnsi="仿宋" w:eastAsia="仿宋" w:cs="仿宋"/>
                <w:sz w:val="24"/>
                <w:szCs w:val="24"/>
              </w:rPr>
            </w:pPr>
            <w:r>
              <w:rPr>
                <w:rFonts w:ascii="仿宋" w:hAnsi="仿宋" w:eastAsia="仿宋" w:cs="仿宋"/>
                <w:spacing w:val="-2"/>
                <w:sz w:val="24"/>
                <w:szCs w:val="24"/>
              </w:rPr>
              <w:t>课外育人满意度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701" w:type="dxa"/>
            <w:vMerge w:val="continue"/>
            <w:tcBorders>
              <w:top w:val="nil"/>
              <w:bottom w:val="nil"/>
            </w:tcBorders>
            <w:vAlign w:val="center"/>
          </w:tcPr>
          <w:p>
            <w:pPr>
              <w:pStyle w:val="15"/>
              <w:jc w:val="center"/>
            </w:pPr>
          </w:p>
        </w:tc>
        <w:tc>
          <w:tcPr>
            <w:tcW w:w="3596" w:type="dxa"/>
            <w:vAlign w:val="center"/>
          </w:tcPr>
          <w:p>
            <w:pPr>
              <w:ind w:left="691" w:leftChars="329"/>
              <w:rPr>
                <w:rFonts w:ascii="仿宋" w:hAnsi="仿宋" w:eastAsia="仿宋" w:cs="仿宋"/>
                <w:sz w:val="24"/>
                <w:szCs w:val="24"/>
              </w:rPr>
            </w:pPr>
            <w:r>
              <w:rPr>
                <w:rFonts w:ascii="仿宋" w:hAnsi="仿宋" w:eastAsia="仿宋" w:cs="仿宋"/>
                <w:spacing w:val="10"/>
                <w:sz w:val="24"/>
                <w:szCs w:val="24"/>
              </w:rPr>
              <w:t>思想政治课教学满</w:t>
            </w:r>
            <w:r>
              <w:rPr>
                <w:rFonts w:ascii="仿宋" w:hAnsi="仿宋" w:eastAsia="仿宋" w:cs="仿宋"/>
                <w:spacing w:val="-13"/>
                <w:sz w:val="24"/>
                <w:szCs w:val="24"/>
              </w:rPr>
              <w:t>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jc w:val="center"/>
        </w:trPr>
        <w:tc>
          <w:tcPr>
            <w:tcW w:w="701" w:type="dxa"/>
            <w:vMerge w:val="continue"/>
            <w:tcBorders>
              <w:top w:val="nil"/>
              <w:bottom w:val="nil"/>
            </w:tcBorders>
            <w:vAlign w:val="center"/>
          </w:tcPr>
          <w:p>
            <w:pPr>
              <w:pStyle w:val="15"/>
              <w:jc w:val="center"/>
            </w:pPr>
          </w:p>
        </w:tc>
        <w:tc>
          <w:tcPr>
            <w:tcW w:w="3596" w:type="dxa"/>
            <w:vAlign w:val="center"/>
          </w:tcPr>
          <w:p>
            <w:pPr>
              <w:ind w:left="706" w:leftChars="329" w:hanging="15" w:hangingChars="6"/>
              <w:rPr>
                <w:rFonts w:ascii="仿宋" w:hAnsi="仿宋" w:eastAsia="仿宋" w:cs="仿宋"/>
                <w:sz w:val="24"/>
                <w:szCs w:val="24"/>
              </w:rPr>
            </w:pPr>
            <w:r>
              <w:rPr>
                <w:rFonts w:ascii="仿宋" w:hAnsi="仿宋" w:eastAsia="仿宋" w:cs="仿宋"/>
                <w:spacing w:val="12"/>
                <w:sz w:val="24"/>
                <w:szCs w:val="24"/>
              </w:rPr>
              <w:t>公共基础课（不含</w:t>
            </w:r>
            <w:r>
              <w:rPr>
                <w:rFonts w:ascii="仿宋" w:hAnsi="仿宋" w:eastAsia="仿宋" w:cs="仿宋"/>
                <w:spacing w:val="10"/>
                <w:sz w:val="24"/>
                <w:szCs w:val="24"/>
              </w:rPr>
              <w:t>思想政治课）教学</w:t>
            </w:r>
            <w:r>
              <w:rPr>
                <w:rFonts w:ascii="仿宋" w:hAnsi="仿宋" w:eastAsia="仿宋" w:cs="仿宋"/>
                <w:spacing w:val="-7"/>
                <w:sz w:val="24"/>
                <w:szCs w:val="24"/>
              </w:rPr>
              <w:t>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continue"/>
            <w:tcBorders>
              <w:top w:val="nil"/>
            </w:tcBorders>
            <w:vAlign w:val="center"/>
          </w:tcPr>
          <w:p>
            <w:pPr>
              <w:pStyle w:val="15"/>
              <w:jc w:val="center"/>
            </w:pPr>
          </w:p>
        </w:tc>
        <w:tc>
          <w:tcPr>
            <w:tcW w:w="3596" w:type="dxa"/>
            <w:vAlign w:val="center"/>
          </w:tcPr>
          <w:p>
            <w:pPr>
              <w:ind w:left="691" w:leftChars="329"/>
              <w:rPr>
                <w:rFonts w:ascii="仿宋" w:hAnsi="仿宋" w:eastAsia="仿宋" w:cs="仿宋"/>
                <w:sz w:val="24"/>
                <w:szCs w:val="24"/>
              </w:rPr>
            </w:pPr>
            <w:r>
              <w:rPr>
                <w:rFonts w:ascii="仿宋" w:hAnsi="仿宋" w:eastAsia="仿宋" w:cs="仿宋"/>
                <w:spacing w:val="-3"/>
                <w:sz w:val="24"/>
                <w:szCs w:val="24"/>
              </w:rPr>
              <w:t>专业课教学满意度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jc w:val="center"/>
              <w:outlineLvl w:val="1"/>
              <w:rPr>
                <w:rFonts w:ascii="仿宋" w:hAnsi="仿宋" w:eastAsia="仿宋" w:cs="仿宋"/>
                <w:sz w:val="24"/>
                <w:szCs w:val="24"/>
              </w:rPr>
            </w:pPr>
            <w:r>
              <w:rPr>
                <w:rFonts w:ascii="仿宋" w:hAnsi="仿宋" w:eastAsia="仿宋" w:cs="仿宋"/>
                <w:spacing w:val="-9"/>
                <w:sz w:val="24"/>
                <w:szCs w:val="24"/>
              </w:rPr>
              <w:t>网上调查</w:t>
            </w:r>
          </w:p>
        </w:tc>
        <w:tc>
          <w:tcPr>
            <w:tcW w:w="1185" w:type="dxa"/>
            <w:vAlign w:val="center"/>
          </w:tcPr>
          <w:p>
            <w:pPr>
              <w:pStyle w:val="15"/>
              <w:jc w:val="center"/>
            </w:pPr>
          </w:p>
        </w:tc>
        <w:tc>
          <w:tcPr>
            <w:tcW w:w="1155" w:type="dxa"/>
            <w:vAlign w:val="center"/>
          </w:tcPr>
          <w:p>
            <w:pPr>
              <w:jc w:val="center"/>
              <w:outlineLvl w:val="1"/>
              <w:rPr>
                <w:rFonts w:ascii="仿宋" w:hAnsi="仿宋" w:eastAsia="仿宋" w:cs="仿宋"/>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restart"/>
            <w:tcBorders>
              <w:bottom w:val="nil"/>
            </w:tcBorders>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2</w:t>
            </w: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毕业生满意度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Merge w:val="continue"/>
            <w:tcBorders>
              <w:top w:val="nil"/>
              <w:bottom w:val="nil"/>
            </w:tcBorders>
            <w:vAlign w:val="center"/>
          </w:tcPr>
          <w:p>
            <w:pPr>
              <w:pStyle w:val="15"/>
              <w:jc w:val="center"/>
            </w:pP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w:t>
            </w:r>
            <w:r>
              <w:rPr>
                <w:rFonts w:hint="eastAsia" w:ascii="仿宋" w:hAnsi="仿宋" w:eastAsia="仿宋" w:cs="仿宋"/>
                <w:spacing w:val="-1"/>
                <w:sz w:val="24"/>
                <w:szCs w:val="24"/>
              </w:rPr>
              <w:t>:</w:t>
            </w:r>
            <w:r>
              <w:rPr>
                <w:rFonts w:ascii="仿宋" w:hAnsi="仿宋" w:eastAsia="仿宋" w:cs="仿宋"/>
                <w:spacing w:val="-1"/>
                <w:sz w:val="24"/>
                <w:szCs w:val="24"/>
              </w:rPr>
              <w:t>应届毕业生满意度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701" w:type="dxa"/>
            <w:vMerge w:val="continue"/>
            <w:tcBorders>
              <w:top w:val="nil"/>
            </w:tcBorders>
            <w:vAlign w:val="center"/>
          </w:tcPr>
          <w:p>
            <w:pPr>
              <w:pStyle w:val="15"/>
              <w:jc w:val="center"/>
            </w:pPr>
          </w:p>
        </w:tc>
        <w:tc>
          <w:tcPr>
            <w:tcW w:w="3596" w:type="dxa"/>
            <w:vAlign w:val="center"/>
          </w:tcPr>
          <w:p>
            <w:pPr>
              <w:ind w:left="691" w:leftChars="329"/>
              <w:rPr>
                <w:rFonts w:ascii="仿宋" w:hAnsi="仿宋" w:eastAsia="仿宋" w:cs="仿宋"/>
                <w:sz w:val="24"/>
                <w:szCs w:val="24"/>
              </w:rPr>
            </w:pPr>
            <w:r>
              <w:rPr>
                <w:rFonts w:ascii="仿宋" w:hAnsi="仿宋" w:eastAsia="仿宋" w:cs="仿宋"/>
                <w:spacing w:val="11"/>
                <w:sz w:val="24"/>
                <w:szCs w:val="24"/>
              </w:rPr>
              <w:t>毕业三年内毕业生</w:t>
            </w:r>
            <w:r>
              <w:rPr>
                <w:rFonts w:ascii="仿宋" w:hAnsi="仿宋" w:eastAsia="仿宋" w:cs="仿宋"/>
                <w:spacing w:val="-7"/>
                <w:sz w:val="24"/>
                <w:szCs w:val="24"/>
              </w:rPr>
              <w:t>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jc w:val="center"/>
        </w:trPr>
        <w:tc>
          <w:tcPr>
            <w:tcW w:w="701"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3</w:t>
            </w: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教职工满意度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701" w:type="dxa"/>
            <w:vAlign w:val="center"/>
          </w:tcPr>
          <w:p>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用人单位满意度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jc w:val="center"/>
        </w:trPr>
        <w:tc>
          <w:tcPr>
            <w:tcW w:w="701" w:type="dxa"/>
            <w:vAlign w:val="center"/>
          </w:tcPr>
          <w:p>
            <w:pPr>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596" w:type="dxa"/>
            <w:vAlign w:val="center"/>
          </w:tcPr>
          <w:p>
            <w:pPr>
              <w:ind w:left="105" w:leftChars="50"/>
              <w:rPr>
                <w:rFonts w:ascii="仿宋" w:hAnsi="仿宋" w:eastAsia="仿宋" w:cs="仿宋"/>
                <w:sz w:val="24"/>
                <w:szCs w:val="24"/>
              </w:rPr>
            </w:pPr>
            <w:r>
              <w:rPr>
                <w:rFonts w:ascii="仿宋" w:hAnsi="仿宋" w:eastAsia="仿宋" w:cs="仿宋"/>
                <w:spacing w:val="-4"/>
                <w:sz w:val="24"/>
                <w:szCs w:val="24"/>
              </w:rPr>
              <w:t>家长满意度</w:t>
            </w:r>
          </w:p>
        </w:tc>
        <w:tc>
          <w:tcPr>
            <w:tcW w:w="705" w:type="dxa"/>
            <w:vAlign w:val="center"/>
          </w:tcPr>
          <w:p>
            <w:pPr>
              <w:jc w:val="center"/>
              <w:outlineLvl w:val="1"/>
              <w:rPr>
                <w:rFonts w:ascii="Times New Roman" w:hAnsi="Times New Roman" w:eastAsia="Times New Roman" w:cs="Times New Roman"/>
                <w:sz w:val="22"/>
              </w:rPr>
            </w:pPr>
            <w:r>
              <w:rPr>
                <w:rFonts w:ascii="Times New Roman" w:hAnsi="Times New Roman" w:eastAsia="Times New Roman" w:cs="Times New Roman"/>
                <w:sz w:val="22"/>
              </w:rPr>
              <w:t>%</w:t>
            </w:r>
          </w:p>
        </w:tc>
        <w:tc>
          <w:tcPr>
            <w:tcW w:w="1293" w:type="dxa"/>
            <w:vAlign w:val="center"/>
          </w:tcPr>
          <w:p>
            <w:pPr>
              <w:pStyle w:val="15"/>
              <w:jc w:val="center"/>
            </w:pPr>
          </w:p>
        </w:tc>
        <w:tc>
          <w:tcPr>
            <w:tcW w:w="1185" w:type="dxa"/>
            <w:vAlign w:val="center"/>
          </w:tcPr>
          <w:p>
            <w:pPr>
              <w:pStyle w:val="15"/>
              <w:jc w:val="center"/>
            </w:pPr>
          </w:p>
        </w:tc>
        <w:tc>
          <w:tcPr>
            <w:tcW w:w="1155" w:type="dxa"/>
            <w:vAlign w:val="center"/>
          </w:tcPr>
          <w:p>
            <w:pPr>
              <w:pStyle w:val="15"/>
              <w:jc w:val="center"/>
            </w:pPr>
          </w:p>
        </w:tc>
      </w:tr>
    </w:tbl>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1.在校生满意度：</w:t>
      </w:r>
      <w:r>
        <w:rPr>
          <w:rFonts w:ascii="Times New Roman" w:hAnsi="Times New Roman" w:eastAsia="仿宋_GB2312"/>
          <w:sz w:val="32"/>
        </w:rPr>
        <w:t>指2021级、2022级学生的满意度评价，包括对学校教学管理、学生管理、后勤服务、课堂育人、课外育人、思想政治课教学、公共基础课(不含思想政治课)教学、专业课教学等的满意度。</w:t>
      </w:r>
    </w:p>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2.毕业生满意度：</w:t>
      </w:r>
      <w:r>
        <w:rPr>
          <w:rFonts w:ascii="Times New Roman" w:hAnsi="Times New Roman" w:eastAsia="仿宋_GB2312"/>
          <w:sz w:val="32"/>
        </w:rPr>
        <w:t>指学校毕业生的满意度评价，包括</w:t>
      </w:r>
      <w:r>
        <w:rPr>
          <w:rFonts w:hint="eastAsia" w:ascii="Times New Roman" w:hAnsi="Times New Roman" w:eastAsia="仿宋_GB2312"/>
          <w:sz w:val="32"/>
        </w:rPr>
        <w:t>2</w:t>
      </w:r>
      <w:r>
        <w:rPr>
          <w:rFonts w:ascii="Times New Roman" w:hAnsi="Times New Roman" w:eastAsia="仿宋_GB2312"/>
          <w:sz w:val="32"/>
        </w:rPr>
        <w:t>023届毕业生和已毕业三年内的毕业生。学校可通过科学合理的方式对本校连续四届毕业生进行充分调查获取，须分别填报</w:t>
      </w:r>
      <w:r>
        <w:rPr>
          <w:rFonts w:hint="eastAsia" w:ascii="Times New Roman" w:hAnsi="Times New Roman" w:eastAsia="仿宋_GB2312"/>
          <w:sz w:val="32"/>
        </w:rPr>
        <w:t>2</w:t>
      </w:r>
      <w:r>
        <w:rPr>
          <w:rFonts w:ascii="Times New Roman" w:hAnsi="Times New Roman" w:eastAsia="仿宋_GB2312"/>
          <w:sz w:val="32"/>
        </w:rPr>
        <w:t>023届毕业生、毕业三年内毕业生的满意度，并填报样本数量及调查方式。</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3.教职工满意度：</w:t>
      </w:r>
      <w:r>
        <w:rPr>
          <w:rFonts w:ascii="Times New Roman" w:hAnsi="Times New Roman" w:eastAsia="仿宋_GB2312"/>
          <w:sz w:val="32"/>
        </w:rPr>
        <w:t>指学校教职员工满意度评价。学校可通过科学合理的方式对本校教职员工进行充分调查获取，须填报样本数量及调查方式。</w:t>
      </w:r>
    </w:p>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4.用人单位满意度：</w:t>
      </w:r>
      <w:r>
        <w:rPr>
          <w:rFonts w:ascii="Times New Roman" w:hAnsi="Times New Roman" w:eastAsia="仿宋_GB2312"/>
          <w:sz w:val="32"/>
        </w:rPr>
        <w:t>指录用</w:t>
      </w:r>
      <w:r>
        <w:rPr>
          <w:rFonts w:hint="eastAsia" w:ascii="Times New Roman" w:hAnsi="Times New Roman" w:eastAsia="仿宋_GB2312"/>
          <w:sz w:val="32"/>
        </w:rPr>
        <w:t>2</w:t>
      </w:r>
      <w:r>
        <w:rPr>
          <w:rFonts w:ascii="Times New Roman" w:hAnsi="Times New Roman" w:eastAsia="仿宋_GB2312"/>
          <w:sz w:val="32"/>
        </w:rPr>
        <w:t>023届毕业生的单位或部门对录用本校毕业生的满意度评价。学校可通过科学合理的方式对用人单位进行充分调查获取，须填报样本数量及调查方式。</w:t>
      </w:r>
    </w:p>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5.家长满意度：</w:t>
      </w:r>
      <w:r>
        <w:rPr>
          <w:rFonts w:ascii="Times New Roman" w:hAnsi="Times New Roman" w:eastAsia="仿宋_GB2312"/>
          <w:sz w:val="32"/>
        </w:rPr>
        <w:t>指学生家长的满意度评价。学校可通过科学合理的方式对全日制在校生家长和毕业生家长进行充分调查获取，须填报样本数量及调查方式。</w:t>
      </w:r>
    </w:p>
    <w:p>
      <w:pPr>
        <w:spacing w:line="579" w:lineRule="exact"/>
        <w:ind w:firstLine="643" w:firstLineChars="200"/>
        <w:jc w:val="left"/>
        <w:rPr>
          <w:rFonts w:ascii="Times New Roman" w:hAnsi="Times New Roman" w:eastAsia="楷体"/>
          <w:b/>
          <w:sz w:val="32"/>
        </w:rPr>
      </w:pPr>
      <w:r>
        <w:rPr>
          <w:rFonts w:ascii="Times New Roman" w:hAnsi="Times New Roman" w:eastAsia="楷体"/>
          <w:b/>
          <w:sz w:val="32"/>
        </w:rPr>
        <w:t xml:space="preserve"> (三)教学资源表指标及内涵说明</w:t>
      </w:r>
    </w:p>
    <w:p>
      <w:pPr>
        <w:spacing w:line="579" w:lineRule="exact"/>
        <w:ind w:firstLine="640" w:firstLineChars="200"/>
        <w:rPr>
          <w:rFonts w:ascii="Times New Roman" w:hAnsi="Times New Roman" w:eastAsia="仿宋_GB2312"/>
          <w:sz w:val="32"/>
        </w:rPr>
      </w:pPr>
      <w:r>
        <w:rPr>
          <w:rFonts w:ascii="Times New Roman" w:hAnsi="Times New Roman" w:eastAsia="仿宋_GB2312"/>
          <w:sz w:val="32"/>
        </w:rPr>
        <w:t>教学资源表系反映职业学校基本办学条件的管理评价工具，共采集13个指标，包括39个字段(表3)。</w:t>
      </w:r>
    </w:p>
    <w:tbl>
      <w:tblPr>
        <w:tblStyle w:val="7"/>
        <w:tblpPr w:leftFromText="180" w:rightFromText="180" w:vertAnchor="text" w:horzAnchor="margin" w:tblpXSpec="center" w:tblpY="354"/>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00"/>
        <w:gridCol w:w="4841"/>
        <w:gridCol w:w="938"/>
        <w:gridCol w:w="228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8668" w:type="dxa"/>
            <w:gridSpan w:val="4"/>
            <w:tcBorders>
              <w:top w:val="nil"/>
              <w:left w:val="nil"/>
              <w:right w:val="nil"/>
            </w:tcBorders>
            <w:vAlign w:val="center"/>
          </w:tcPr>
          <w:p>
            <w:pPr>
              <w:jc w:val="center"/>
              <w:rPr>
                <w:rFonts w:ascii="黑体" w:hAnsi="黑体" w:eastAsia="黑体"/>
              </w:rPr>
            </w:pPr>
            <w:r>
              <w:rPr>
                <w:rFonts w:ascii="黑体" w:hAnsi="黑体" w:eastAsia="黑体" w:cs="黑体"/>
                <w:spacing w:val="5"/>
                <w:sz w:val="31"/>
                <w:szCs w:val="31"/>
              </w:rPr>
              <w:t>表3教学资源表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黑体" w:hAnsi="黑体" w:eastAsia="黑体"/>
              </w:rPr>
            </w:pPr>
            <w:r>
              <w:rPr>
                <w:rFonts w:ascii="黑体" w:hAnsi="黑体" w:eastAsia="黑体"/>
              </w:rPr>
              <w:t>序号</w:t>
            </w:r>
          </w:p>
        </w:tc>
        <w:tc>
          <w:tcPr>
            <w:tcW w:w="4841" w:type="dxa"/>
            <w:vAlign w:val="center"/>
          </w:tcPr>
          <w:p>
            <w:pPr>
              <w:jc w:val="center"/>
              <w:rPr>
                <w:rFonts w:ascii="黑体" w:hAnsi="黑体" w:eastAsia="黑体"/>
              </w:rPr>
            </w:pPr>
            <w:r>
              <w:rPr>
                <w:rFonts w:ascii="黑体" w:hAnsi="黑体" w:eastAsia="黑体"/>
              </w:rPr>
              <w:t>指标</w:t>
            </w:r>
          </w:p>
        </w:tc>
        <w:tc>
          <w:tcPr>
            <w:tcW w:w="938" w:type="dxa"/>
            <w:vAlign w:val="center"/>
          </w:tcPr>
          <w:p>
            <w:pPr>
              <w:jc w:val="center"/>
              <w:rPr>
                <w:rFonts w:ascii="黑体" w:hAnsi="黑体" w:eastAsia="黑体"/>
              </w:rPr>
            </w:pPr>
            <w:r>
              <w:rPr>
                <w:rFonts w:ascii="黑体" w:hAnsi="黑体" w:eastAsia="黑体"/>
              </w:rPr>
              <w:t>单位</w:t>
            </w:r>
          </w:p>
        </w:tc>
        <w:tc>
          <w:tcPr>
            <w:tcW w:w="2289" w:type="dxa"/>
            <w:vAlign w:val="center"/>
          </w:tcPr>
          <w:p>
            <w:pPr>
              <w:jc w:val="center"/>
              <w:rPr>
                <w:rFonts w:ascii="黑体" w:hAnsi="黑体" w:eastAsia="黑体"/>
              </w:rPr>
            </w:pPr>
            <w:r>
              <w:rPr>
                <w:rFonts w:ascii="黑体" w:hAnsi="黑体" w:eastAsia="黑体"/>
              </w:rPr>
              <w:t>2023年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生师比*</w:t>
            </w:r>
          </w:p>
        </w:tc>
        <w:tc>
          <w:tcPr>
            <w:tcW w:w="938" w:type="dxa"/>
            <w:vAlign w:val="center"/>
          </w:tcPr>
          <w:p>
            <w:pPr>
              <w:jc w:val="center"/>
              <w:rPr>
                <w:rFonts w:ascii="仿宋" w:hAnsi="仿宋" w:eastAsia="仿宋" w:cs="仿宋"/>
              </w:rPr>
            </w:pPr>
            <w:r>
              <w:rPr>
                <w:rFonts w:hint="eastAsia" w:ascii="仿宋" w:hAnsi="仿宋" w:eastAsia="仿宋" w:cs="仿宋"/>
              </w:rPr>
              <w:t>:</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2</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双师素质专任教师比例*</w:t>
            </w:r>
          </w:p>
        </w:tc>
        <w:tc>
          <w:tcPr>
            <w:tcW w:w="938" w:type="dxa"/>
            <w:vAlign w:val="center"/>
          </w:tcPr>
          <w:p>
            <w:pPr>
              <w:jc w:val="center"/>
              <w:rPr>
                <w:rFonts w:ascii="仿宋" w:hAnsi="仿宋" w:eastAsia="仿宋" w:cs="仿宋"/>
              </w:rPr>
            </w:pPr>
            <w:r>
              <w:rPr>
                <w:rFonts w:hint="eastAsia" w:ascii="仿宋" w:hAnsi="仿宋" w:eastAsia="仿宋" w:cs="仿宋"/>
              </w:rPr>
              <w:t>%</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3</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高级专业技术职务专任教师比例*</w:t>
            </w:r>
          </w:p>
        </w:tc>
        <w:tc>
          <w:tcPr>
            <w:tcW w:w="938" w:type="dxa"/>
            <w:vAlign w:val="center"/>
          </w:tcPr>
          <w:p>
            <w:pPr>
              <w:jc w:val="center"/>
              <w:rPr>
                <w:rFonts w:ascii="仿宋" w:hAnsi="仿宋" w:eastAsia="仿宋" w:cs="仿宋"/>
              </w:rPr>
            </w:pPr>
            <w:r>
              <w:rPr>
                <w:rFonts w:hint="eastAsia" w:ascii="仿宋" w:hAnsi="仿宋" w:eastAsia="仿宋" w:cs="仿宋"/>
              </w:rPr>
              <w:t>%</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4</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专业群数量*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r>
              <w:rPr>
                <w:rFonts w:ascii="仿宋" w:hAnsi="仿宋" w:eastAsia="仿宋" w:cs="仿宋"/>
                <w:spacing w:val="-3"/>
                <w:sz w:val="24"/>
                <w:szCs w:val="24"/>
              </w:rPr>
              <w:t>请逐一填写专业群名称、核心专业和对接的产业，否则无效。</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专业数量*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5</w:t>
            </w:r>
          </w:p>
        </w:tc>
        <w:tc>
          <w:tcPr>
            <w:tcW w:w="4841" w:type="dxa"/>
            <w:vMerge w:val="restart"/>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教学计划内课程总数*</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continue"/>
          </w:tcPr>
          <w:p>
            <w:pPr>
              <w:ind w:left="105" w:leftChars="50"/>
              <w:rPr>
                <w:rFonts w:ascii="仿宋" w:hAnsi="仿宋" w:eastAsia="仿宋" w:cs="仿宋"/>
                <w:spacing w:val="-3"/>
                <w:sz w:val="24"/>
                <w:szCs w:val="24"/>
              </w:rPr>
            </w:pPr>
          </w:p>
        </w:tc>
        <w:tc>
          <w:tcPr>
            <w:tcW w:w="938" w:type="dxa"/>
            <w:vAlign w:val="center"/>
          </w:tcPr>
          <w:p>
            <w:pPr>
              <w:jc w:val="center"/>
              <w:rPr>
                <w:rFonts w:ascii="仿宋" w:hAnsi="仿宋" w:eastAsia="仿宋" w:cs="仿宋"/>
              </w:rPr>
            </w:pPr>
            <w:r>
              <w:rPr>
                <w:rFonts w:hint="eastAsia" w:ascii="仿宋" w:hAnsi="仿宋" w:eastAsia="仿宋" w:cs="仿宋"/>
              </w:rPr>
              <w:t>学时</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restart"/>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其中</w:t>
            </w:r>
            <w:r>
              <w:rPr>
                <w:rFonts w:hint="eastAsia" w:ascii="仿宋" w:hAnsi="仿宋" w:eastAsia="仿宋" w:cs="仿宋"/>
                <w:spacing w:val="-3"/>
                <w:sz w:val="24"/>
                <w:szCs w:val="24"/>
              </w:rPr>
              <w:t>：</w:t>
            </w:r>
            <w:r>
              <w:rPr>
                <w:rFonts w:ascii="仿宋" w:hAnsi="仿宋" w:eastAsia="仿宋" w:cs="仿宋"/>
                <w:spacing w:val="-3"/>
                <w:sz w:val="24"/>
                <w:szCs w:val="24"/>
              </w:rPr>
              <w:t>课证融通课程数*</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continue"/>
          </w:tcPr>
          <w:p>
            <w:pPr>
              <w:ind w:left="105" w:leftChars="50"/>
              <w:rPr>
                <w:rFonts w:ascii="仿宋" w:hAnsi="仿宋" w:eastAsia="仿宋" w:cs="仿宋"/>
                <w:spacing w:val="-3"/>
                <w:sz w:val="24"/>
                <w:szCs w:val="24"/>
              </w:rPr>
            </w:pPr>
          </w:p>
        </w:tc>
        <w:tc>
          <w:tcPr>
            <w:tcW w:w="938" w:type="dxa"/>
            <w:vAlign w:val="center"/>
          </w:tcPr>
          <w:p>
            <w:pPr>
              <w:jc w:val="center"/>
              <w:rPr>
                <w:rFonts w:ascii="仿宋" w:hAnsi="仿宋" w:eastAsia="仿宋" w:cs="仿宋"/>
              </w:rPr>
            </w:pPr>
            <w:r>
              <w:rPr>
                <w:rFonts w:hint="eastAsia" w:ascii="仿宋" w:hAnsi="仿宋" w:eastAsia="仿宋" w:cs="仿宋"/>
              </w:rPr>
              <w:t>学时</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restart"/>
            <w:vAlign w:val="center"/>
          </w:tcPr>
          <w:p>
            <w:pPr>
              <w:ind w:left="840" w:leftChars="400"/>
              <w:rPr>
                <w:rFonts w:ascii="仿宋" w:hAnsi="仿宋" w:eastAsia="仿宋" w:cs="仿宋"/>
                <w:spacing w:val="-3"/>
                <w:sz w:val="24"/>
                <w:szCs w:val="24"/>
              </w:rPr>
            </w:pPr>
            <w:r>
              <w:rPr>
                <w:rFonts w:ascii="仿宋" w:hAnsi="仿宋" w:eastAsia="仿宋" w:cs="仿宋"/>
                <w:spacing w:val="-3"/>
                <w:sz w:val="24"/>
                <w:szCs w:val="24"/>
              </w:rPr>
              <w:t>网络教学课程数</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continue"/>
          </w:tcPr>
          <w:p>
            <w:pPr>
              <w:ind w:left="105" w:leftChars="50"/>
              <w:rPr>
                <w:rFonts w:ascii="仿宋" w:hAnsi="仿宋" w:eastAsia="仿宋" w:cs="仿宋"/>
                <w:spacing w:val="-3"/>
                <w:sz w:val="24"/>
                <w:szCs w:val="24"/>
              </w:rPr>
            </w:pPr>
          </w:p>
        </w:tc>
        <w:tc>
          <w:tcPr>
            <w:tcW w:w="938" w:type="dxa"/>
            <w:vAlign w:val="center"/>
          </w:tcPr>
          <w:p>
            <w:pPr>
              <w:jc w:val="center"/>
              <w:rPr>
                <w:rFonts w:ascii="仿宋" w:hAnsi="仿宋" w:eastAsia="仿宋" w:cs="仿宋"/>
              </w:rPr>
            </w:pPr>
            <w:r>
              <w:rPr>
                <w:rFonts w:hint="eastAsia" w:ascii="仿宋" w:hAnsi="仿宋" w:eastAsia="仿宋" w:cs="仿宋"/>
              </w:rPr>
              <w:t>学时</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6</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专业教学资源库数</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其中</w:t>
            </w:r>
            <w:r>
              <w:rPr>
                <w:rFonts w:hint="eastAsia" w:ascii="仿宋" w:hAnsi="仿宋" w:eastAsia="仿宋" w:cs="仿宋"/>
                <w:spacing w:val="-3"/>
                <w:sz w:val="24"/>
                <w:szCs w:val="24"/>
              </w:rPr>
              <w:t>：</w:t>
            </w:r>
            <w:r>
              <w:rPr>
                <w:rFonts w:ascii="仿宋" w:hAnsi="仿宋" w:eastAsia="仿宋" w:cs="仿宋"/>
                <w:spacing w:val="-3"/>
                <w:sz w:val="24"/>
                <w:szCs w:val="24"/>
              </w:rPr>
              <w:t>国家级数量*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260" w:leftChars="60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840" w:leftChars="400"/>
              <w:rPr>
                <w:rFonts w:ascii="仿宋" w:hAnsi="仿宋" w:eastAsia="仿宋" w:cs="仿宋"/>
                <w:spacing w:val="-3"/>
                <w:sz w:val="24"/>
                <w:szCs w:val="24"/>
              </w:rPr>
            </w:pPr>
            <w:r>
              <w:rPr>
                <w:rFonts w:ascii="仿宋" w:hAnsi="仿宋" w:eastAsia="仿宋" w:cs="仿宋"/>
                <w:spacing w:val="-3"/>
                <w:sz w:val="24"/>
                <w:szCs w:val="24"/>
              </w:rPr>
              <w:t>省级数量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260" w:leftChars="60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840" w:leftChars="400"/>
              <w:rPr>
                <w:rFonts w:ascii="仿宋" w:hAnsi="仿宋" w:eastAsia="仿宋" w:cs="仿宋"/>
                <w:spacing w:val="-3"/>
                <w:sz w:val="24"/>
                <w:szCs w:val="24"/>
              </w:rPr>
            </w:pPr>
            <w:r>
              <w:rPr>
                <w:rFonts w:ascii="仿宋" w:hAnsi="仿宋" w:eastAsia="仿宋" w:cs="仿宋"/>
                <w:spacing w:val="-3"/>
                <w:sz w:val="24"/>
                <w:szCs w:val="24"/>
              </w:rPr>
              <w:t>校级数量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260" w:leftChars="60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7</w:t>
            </w:r>
          </w:p>
        </w:tc>
        <w:tc>
          <w:tcPr>
            <w:tcW w:w="4841" w:type="dxa"/>
            <w:vMerge w:val="restart"/>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在线精品课程数*</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Merge w:val="continue"/>
          </w:tcPr>
          <w:p>
            <w:pPr>
              <w:ind w:left="105" w:leftChars="50"/>
              <w:rPr>
                <w:rFonts w:ascii="仿宋" w:hAnsi="仿宋" w:eastAsia="仿宋" w:cs="仿宋"/>
                <w:spacing w:val="-3"/>
                <w:sz w:val="24"/>
                <w:szCs w:val="24"/>
              </w:rPr>
            </w:pPr>
          </w:p>
        </w:tc>
        <w:tc>
          <w:tcPr>
            <w:tcW w:w="938" w:type="dxa"/>
            <w:vAlign w:val="center"/>
          </w:tcPr>
          <w:p>
            <w:pPr>
              <w:jc w:val="center"/>
              <w:rPr>
                <w:rFonts w:ascii="仿宋" w:hAnsi="仿宋" w:eastAsia="仿宋" w:cs="仿宋"/>
              </w:rPr>
            </w:pPr>
            <w:r>
              <w:rPr>
                <w:rFonts w:hint="eastAsia" w:ascii="仿宋" w:hAnsi="仿宋" w:eastAsia="仿宋" w:cs="仿宋"/>
              </w:rPr>
              <w:t>学时</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在线精品课程课均学生数*</w:t>
            </w:r>
          </w:p>
        </w:tc>
        <w:tc>
          <w:tcPr>
            <w:tcW w:w="938" w:type="dxa"/>
            <w:vAlign w:val="center"/>
          </w:tcPr>
          <w:p>
            <w:pPr>
              <w:jc w:val="center"/>
              <w:rPr>
                <w:rFonts w:ascii="仿宋" w:hAnsi="仿宋" w:eastAsia="仿宋" w:cs="仿宋"/>
              </w:rPr>
            </w:pPr>
            <w:r>
              <w:rPr>
                <w:rFonts w:hint="eastAsia" w:ascii="仿宋" w:hAnsi="仿宋" w:eastAsia="仿宋" w:cs="仿宋"/>
              </w:rPr>
              <w:t>人</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其中</w:t>
            </w:r>
            <w:r>
              <w:rPr>
                <w:rFonts w:hint="eastAsia" w:ascii="仿宋" w:hAnsi="仿宋" w:eastAsia="仿宋" w:cs="仿宋"/>
                <w:spacing w:val="-3"/>
                <w:sz w:val="24"/>
                <w:szCs w:val="24"/>
              </w:rPr>
              <w:t>:</w:t>
            </w:r>
            <w:r>
              <w:rPr>
                <w:rFonts w:ascii="仿宋" w:hAnsi="仿宋" w:eastAsia="仿宋" w:cs="仿宋"/>
                <w:spacing w:val="-3"/>
                <w:sz w:val="24"/>
                <w:szCs w:val="24"/>
              </w:rPr>
              <w:t>国家级数量*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省级数量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校级数量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门</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8</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虚拟仿真实训基地数</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其中</w:t>
            </w:r>
            <w:r>
              <w:rPr>
                <w:rFonts w:hint="eastAsia" w:ascii="仿宋" w:hAnsi="仿宋" w:eastAsia="仿宋" w:cs="仿宋"/>
                <w:spacing w:val="-3"/>
                <w:sz w:val="24"/>
                <w:szCs w:val="24"/>
              </w:rPr>
              <w:t>:</w:t>
            </w:r>
            <w:r>
              <w:rPr>
                <w:rFonts w:ascii="仿宋" w:hAnsi="仿宋" w:eastAsia="仿宋" w:cs="仿宋"/>
                <w:spacing w:val="-3"/>
                <w:sz w:val="24"/>
                <w:szCs w:val="24"/>
              </w:rPr>
              <w:t>国家级数量*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省级数量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校级数量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155" w:leftChars="5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个</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restart"/>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9</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编写教材数</w:t>
            </w:r>
          </w:p>
        </w:tc>
        <w:tc>
          <w:tcPr>
            <w:tcW w:w="938" w:type="dxa"/>
            <w:vAlign w:val="center"/>
          </w:tcPr>
          <w:p>
            <w:pPr>
              <w:jc w:val="center"/>
              <w:rPr>
                <w:rFonts w:ascii="仿宋" w:hAnsi="仿宋" w:eastAsia="仿宋" w:cs="仿宋"/>
              </w:rPr>
            </w:pPr>
            <w:r>
              <w:rPr>
                <w:rFonts w:hint="eastAsia" w:ascii="仿宋" w:hAnsi="仿宋" w:eastAsia="仿宋" w:cs="仿宋"/>
              </w:rPr>
              <w:t>本</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其中</w:t>
            </w:r>
            <w:r>
              <w:rPr>
                <w:rFonts w:hint="eastAsia" w:ascii="仿宋" w:hAnsi="仿宋" w:eastAsia="仿宋" w:cs="仿宋"/>
                <w:spacing w:val="-3"/>
                <w:sz w:val="24"/>
                <w:szCs w:val="24"/>
              </w:rPr>
              <w:t>:</w:t>
            </w:r>
            <w:r>
              <w:rPr>
                <w:rFonts w:ascii="仿宋" w:hAnsi="仿宋" w:eastAsia="仿宋" w:cs="仿宋"/>
                <w:spacing w:val="-3"/>
                <w:sz w:val="24"/>
                <w:szCs w:val="24"/>
              </w:rPr>
              <w:t>国家规划教材数量*</w:t>
            </w:r>
          </w:p>
        </w:tc>
        <w:tc>
          <w:tcPr>
            <w:tcW w:w="938" w:type="dxa"/>
            <w:vAlign w:val="center"/>
          </w:tcPr>
          <w:p>
            <w:pPr>
              <w:jc w:val="center"/>
              <w:rPr>
                <w:rFonts w:ascii="仿宋" w:hAnsi="仿宋" w:eastAsia="仿宋" w:cs="仿宋"/>
              </w:rPr>
            </w:pPr>
            <w:r>
              <w:rPr>
                <w:rFonts w:hint="eastAsia" w:ascii="仿宋" w:hAnsi="仿宋" w:eastAsia="仿宋" w:cs="仿宋"/>
              </w:rPr>
              <w:t>本</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校企合作编写教材数量</w:t>
            </w:r>
          </w:p>
        </w:tc>
        <w:tc>
          <w:tcPr>
            <w:tcW w:w="938" w:type="dxa"/>
            <w:vAlign w:val="center"/>
          </w:tcPr>
          <w:p>
            <w:pPr>
              <w:jc w:val="center"/>
              <w:rPr>
                <w:rFonts w:ascii="仿宋" w:hAnsi="仿宋" w:eastAsia="仿宋" w:cs="仿宋"/>
              </w:rPr>
            </w:pPr>
            <w:r>
              <w:rPr>
                <w:rFonts w:hint="eastAsia" w:ascii="仿宋" w:hAnsi="仿宋" w:eastAsia="仿宋" w:cs="仿宋"/>
              </w:rPr>
              <w:t>本</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新形态教材数量</w:t>
            </w:r>
          </w:p>
        </w:tc>
        <w:tc>
          <w:tcPr>
            <w:tcW w:w="938" w:type="dxa"/>
            <w:vAlign w:val="center"/>
          </w:tcPr>
          <w:p>
            <w:pPr>
              <w:jc w:val="center"/>
              <w:rPr>
                <w:rFonts w:ascii="仿宋" w:hAnsi="仿宋" w:eastAsia="仿宋" w:cs="仿宋"/>
              </w:rPr>
            </w:pPr>
            <w:r>
              <w:rPr>
                <w:rFonts w:hint="eastAsia" w:ascii="仿宋" w:hAnsi="仿宋" w:eastAsia="仿宋" w:cs="仿宋"/>
              </w:rPr>
              <w:t>本</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Merge w:val="continue"/>
          </w:tcPr>
          <w:p>
            <w:pPr>
              <w:jc w:val="center"/>
              <w:rPr>
                <w:rFonts w:ascii="Times New Roman" w:hAnsi="Times New Roman" w:eastAsia="Times New Roman" w:cs="Times New Roman"/>
                <w:sz w:val="22"/>
              </w:rPr>
            </w:pPr>
          </w:p>
        </w:tc>
        <w:tc>
          <w:tcPr>
            <w:tcW w:w="4841" w:type="dxa"/>
            <w:vAlign w:val="center"/>
          </w:tcPr>
          <w:p>
            <w:pPr>
              <w:ind w:left="735" w:leftChars="350"/>
              <w:rPr>
                <w:rFonts w:ascii="仿宋" w:hAnsi="仿宋" w:eastAsia="仿宋" w:cs="仿宋"/>
                <w:spacing w:val="-3"/>
                <w:sz w:val="24"/>
                <w:szCs w:val="24"/>
              </w:rPr>
            </w:pPr>
            <w:r>
              <w:rPr>
                <w:rFonts w:ascii="仿宋" w:hAnsi="仿宋" w:eastAsia="仿宋" w:cs="仿宋"/>
                <w:spacing w:val="-3"/>
                <w:sz w:val="24"/>
                <w:szCs w:val="24"/>
              </w:rPr>
              <w:t>接入国家智慧教育平台数量*</w:t>
            </w:r>
          </w:p>
        </w:tc>
        <w:tc>
          <w:tcPr>
            <w:tcW w:w="938" w:type="dxa"/>
            <w:vAlign w:val="center"/>
          </w:tcPr>
          <w:p>
            <w:pPr>
              <w:jc w:val="center"/>
              <w:rPr>
                <w:rFonts w:ascii="仿宋" w:hAnsi="仿宋" w:eastAsia="仿宋" w:cs="仿宋"/>
              </w:rPr>
            </w:pPr>
            <w:r>
              <w:rPr>
                <w:rFonts w:hint="eastAsia" w:ascii="仿宋" w:hAnsi="仿宋" w:eastAsia="仿宋" w:cs="仿宋"/>
              </w:rPr>
              <w:t>本</w:t>
            </w:r>
          </w:p>
        </w:tc>
        <w:tc>
          <w:tcPr>
            <w:tcW w:w="2289" w:type="dxa"/>
            <w:vAlign w:val="center"/>
          </w:tcPr>
          <w:p/>
        </w:tc>
      </w:tr>
      <w:tr>
        <w:tblPrEx>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10</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互联网出口带宽*</w:t>
            </w:r>
          </w:p>
        </w:tc>
        <w:tc>
          <w:tcPr>
            <w:tcW w:w="938" w:type="dxa"/>
            <w:vAlign w:val="center"/>
          </w:tcPr>
          <w:p>
            <w:pPr>
              <w:jc w:val="center"/>
              <w:rPr>
                <w:rFonts w:ascii="仿宋" w:hAnsi="仿宋" w:eastAsia="仿宋" w:cs="仿宋"/>
              </w:rPr>
            </w:pPr>
            <w:r>
              <w:rPr>
                <w:rFonts w:hint="eastAsia" w:ascii="仿宋" w:hAnsi="仿宋" w:eastAsia="仿宋" w:cs="仿宋"/>
              </w:rPr>
              <w:t>Mbps</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11</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校园网主干最大带宽*</w:t>
            </w:r>
          </w:p>
        </w:tc>
        <w:tc>
          <w:tcPr>
            <w:tcW w:w="938" w:type="dxa"/>
            <w:vAlign w:val="center"/>
          </w:tcPr>
          <w:p>
            <w:pPr>
              <w:jc w:val="center"/>
              <w:rPr>
                <w:rFonts w:ascii="仿宋" w:hAnsi="仿宋" w:eastAsia="仿宋" w:cs="仿宋"/>
              </w:rPr>
            </w:pPr>
            <w:r>
              <w:rPr>
                <w:rFonts w:hint="eastAsia" w:ascii="仿宋" w:hAnsi="仿宋" w:eastAsia="仿宋" w:cs="仿宋"/>
              </w:rPr>
              <w:t>Mbps</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12</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生均校内实践教学工位数*</w:t>
            </w:r>
          </w:p>
        </w:tc>
        <w:tc>
          <w:tcPr>
            <w:tcW w:w="938" w:type="dxa"/>
            <w:vAlign w:val="center"/>
          </w:tcPr>
          <w:p>
            <w:pPr>
              <w:jc w:val="center"/>
              <w:rPr>
                <w:rFonts w:ascii="仿宋" w:hAnsi="仿宋" w:eastAsia="仿宋" w:cs="仿宋"/>
              </w:rPr>
            </w:pPr>
            <w:r>
              <w:rPr>
                <w:rFonts w:hint="eastAsia" w:ascii="仿宋" w:hAnsi="仿宋" w:eastAsia="仿宋" w:cs="仿宋"/>
              </w:rPr>
              <w:t>个/生</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13</w:t>
            </w:r>
          </w:p>
        </w:tc>
        <w:tc>
          <w:tcPr>
            <w:tcW w:w="4841" w:type="dxa"/>
            <w:vAlign w:val="center"/>
          </w:tcPr>
          <w:p>
            <w:pPr>
              <w:ind w:left="105" w:leftChars="50"/>
              <w:rPr>
                <w:rFonts w:ascii="仿宋" w:hAnsi="仿宋" w:eastAsia="仿宋" w:cs="仿宋"/>
                <w:spacing w:val="-3"/>
                <w:sz w:val="24"/>
                <w:szCs w:val="24"/>
              </w:rPr>
            </w:pPr>
            <w:r>
              <w:rPr>
                <w:rFonts w:ascii="仿宋" w:hAnsi="仿宋" w:eastAsia="仿宋" w:cs="仿宋"/>
                <w:spacing w:val="-3"/>
                <w:sz w:val="24"/>
                <w:szCs w:val="24"/>
              </w:rPr>
              <w:t>生均教学科研仪器设备值*</w:t>
            </w:r>
          </w:p>
        </w:tc>
        <w:tc>
          <w:tcPr>
            <w:tcW w:w="938" w:type="dxa"/>
            <w:vAlign w:val="center"/>
          </w:tcPr>
          <w:p>
            <w:pPr>
              <w:jc w:val="center"/>
              <w:rPr>
                <w:rFonts w:ascii="仿宋" w:hAnsi="仿宋" w:eastAsia="仿宋" w:cs="仿宋"/>
              </w:rPr>
            </w:pPr>
            <w:r>
              <w:rPr>
                <w:rFonts w:hint="eastAsia" w:ascii="仿宋" w:hAnsi="仿宋" w:eastAsia="仿宋" w:cs="仿宋"/>
              </w:rPr>
              <w:t>元/生</w:t>
            </w: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8668" w:type="dxa"/>
            <w:gridSpan w:val="4"/>
            <w:vAlign w:val="center"/>
          </w:tcPr>
          <w:p>
            <w:pPr>
              <w:ind w:left="105" w:leftChars="50"/>
            </w:pPr>
            <w:r>
              <w:rPr>
                <w:rFonts w:ascii="黑体" w:hAnsi="黑体" w:eastAsia="黑体"/>
              </w:rPr>
              <w:t>说明：请逐一列出学校专业群及核心专业，并选择对接产业链</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1</w:t>
            </w:r>
          </w:p>
        </w:tc>
        <w:tc>
          <w:tcPr>
            <w:tcW w:w="4841" w:type="dxa"/>
            <w:vAlign w:val="center"/>
          </w:tcPr>
          <w:p>
            <w:pPr>
              <w:jc w:val="center"/>
              <w:rPr>
                <w:rFonts w:ascii="黑体" w:hAnsi="黑体" w:eastAsia="黑体"/>
              </w:rPr>
            </w:pPr>
            <w:r>
              <w:rPr>
                <w:rFonts w:ascii="黑体" w:hAnsi="黑体" w:eastAsia="黑体"/>
              </w:rPr>
              <w:t>专业群名称</w:t>
            </w:r>
          </w:p>
        </w:tc>
        <w:tc>
          <w:tcPr>
            <w:tcW w:w="938" w:type="dxa"/>
            <w:vAlign w:val="center"/>
          </w:tcPr>
          <w:p>
            <w:pPr>
              <w:jc w:val="center"/>
              <w:rPr>
                <w:rFonts w:ascii="黑体" w:hAnsi="黑体" w:eastAsia="黑体"/>
              </w:rPr>
            </w:pPr>
            <w:r>
              <w:rPr>
                <w:rFonts w:ascii="黑体" w:hAnsi="黑体" w:eastAsia="黑体"/>
              </w:rPr>
              <w:t>核心专业</w:t>
            </w:r>
          </w:p>
        </w:tc>
        <w:tc>
          <w:tcPr>
            <w:tcW w:w="2289" w:type="dxa"/>
            <w:vAlign w:val="center"/>
          </w:tcPr>
          <w:p>
            <w:pPr>
              <w:jc w:val="center"/>
              <w:rPr>
                <w:rFonts w:ascii="黑体" w:hAnsi="黑体" w:eastAsia="黑体"/>
              </w:rPr>
            </w:pPr>
            <w:r>
              <w:rPr>
                <w:rFonts w:ascii="黑体" w:hAnsi="黑体" w:eastAsia="黑体"/>
              </w:rPr>
              <w:t>选择对接产业链</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ascii="Times New Roman" w:hAnsi="Times New Roman" w:eastAsia="Times New Roman" w:cs="Times New Roman"/>
                <w:sz w:val="22"/>
              </w:rPr>
              <w:t>2</w:t>
            </w:r>
          </w:p>
        </w:tc>
        <w:tc>
          <w:tcPr>
            <w:tcW w:w="4841" w:type="dxa"/>
            <w:vAlign w:val="center"/>
          </w:tcPr>
          <w:p/>
        </w:tc>
        <w:tc>
          <w:tcPr>
            <w:tcW w:w="938" w:type="dxa"/>
            <w:vAlign w:val="center"/>
          </w:tcPr>
          <w:p/>
        </w:tc>
        <w:tc>
          <w:tcPr>
            <w:tcW w:w="2289" w:type="dxa"/>
            <w:vAlign w:val="center"/>
          </w:tc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86" w:hRule="atLeast"/>
          <w:jc w:val="center"/>
        </w:trPr>
        <w:tc>
          <w:tcPr>
            <w:tcW w:w="600" w:type="dxa"/>
            <w:vAlign w:val="center"/>
          </w:tcPr>
          <w:p>
            <w:pPr>
              <w:jc w:val="center"/>
              <w:rPr>
                <w:rFonts w:ascii="Times New Roman" w:hAnsi="Times New Roman" w:eastAsia="Times New Roman" w:cs="Times New Roman"/>
                <w:sz w:val="22"/>
              </w:rPr>
            </w:pPr>
            <w:r>
              <w:rPr>
                <w:rFonts w:hint="eastAsia" w:ascii="Times New Roman" w:hAnsi="Times New Roman" w:eastAsia="Times New Roman" w:cs="Times New Roman"/>
                <w:sz w:val="22"/>
              </w:rPr>
              <w:t>......</w:t>
            </w:r>
          </w:p>
        </w:tc>
        <w:tc>
          <w:tcPr>
            <w:tcW w:w="4841" w:type="dxa"/>
            <w:vAlign w:val="center"/>
          </w:tcPr>
          <w:p/>
        </w:tc>
        <w:tc>
          <w:tcPr>
            <w:tcW w:w="938" w:type="dxa"/>
            <w:vAlign w:val="center"/>
          </w:tcPr>
          <w:p/>
        </w:tc>
        <w:tc>
          <w:tcPr>
            <w:tcW w:w="2289" w:type="dxa"/>
            <w:vAlign w:val="center"/>
          </w:tcPr>
          <w:p/>
        </w:tc>
      </w:tr>
    </w:tbl>
    <w:p>
      <w:pPr>
        <w:spacing w:line="579" w:lineRule="exact"/>
        <w:ind w:firstLine="640" w:firstLineChars="200"/>
        <w:rPr>
          <w:rFonts w:hint="eastAsia" w:ascii="Times New Roman" w:hAnsi="Times New Roman" w:eastAsia="仿宋_GB2312"/>
          <w:sz w:val="32"/>
        </w:rPr>
      </w:pP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1.生师比*：</w:t>
      </w:r>
      <w:r>
        <w:rPr>
          <w:rFonts w:ascii="Times New Roman" w:hAnsi="Times New Roman" w:eastAsia="仿宋_GB2312"/>
          <w:sz w:val="32"/>
        </w:rPr>
        <w:t>指全日制在校生人数与教师总数之比，比值</w:t>
      </w:r>
      <w:r>
        <w:rPr>
          <w:rFonts w:ascii="Times New Roman" w:hAnsi="Times New Roman" w:eastAsia="仿宋_GB2312"/>
          <w:color w:val="000000"/>
          <w:sz w:val="32"/>
        </w:rPr>
        <w:t>填写为X:1。</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2.双师素质专任教师比例*：</w:t>
      </w:r>
      <w:r>
        <w:rPr>
          <w:rFonts w:ascii="Times New Roman" w:hAnsi="Times New Roman" w:eastAsia="仿宋_GB2312"/>
          <w:color w:val="000000"/>
          <w:sz w:val="32"/>
        </w:rPr>
        <w:t>指双师素质专任教师人数/</w:t>
      </w:r>
      <w:r>
        <w:rPr>
          <w:rFonts w:ascii="Times New Roman" w:hAnsi="Times New Roman" w:eastAsia="仿宋_GB2312"/>
          <w:sz w:val="32"/>
        </w:rPr>
        <w:t>专任教师数×100%。双师素质教师指经省级教育行政部门认定或备案，由学校按照聘任程序聘用的同时具有教师资格证书和国家职业技能等级证书(或职业资格证书或专业技术职务或五年企业实践时长6个月以上)的双师型教师。</w:t>
      </w:r>
    </w:p>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3.高级专业技术职务专任教师比例*：</w:t>
      </w:r>
      <w:r>
        <w:rPr>
          <w:rFonts w:ascii="Times New Roman" w:hAnsi="Times New Roman" w:eastAsia="仿宋_GB2312"/>
          <w:sz w:val="32"/>
        </w:rPr>
        <w:t>指具有副高及以上专业技术职务专任教师人数/专任教师数×100%。</w:t>
      </w:r>
    </w:p>
    <w:p>
      <w:pPr>
        <w:spacing w:line="579" w:lineRule="exact"/>
        <w:ind w:firstLine="643" w:firstLineChars="200"/>
        <w:rPr>
          <w:rFonts w:ascii="仿宋_GB2312" w:hAnsi="Times New Roman" w:eastAsia="仿宋_GB2312"/>
          <w:sz w:val="32"/>
        </w:rPr>
      </w:pPr>
      <w:r>
        <w:rPr>
          <w:rFonts w:ascii="Times New Roman" w:hAnsi="Times New Roman" w:eastAsia="仿宋_GB2312"/>
          <w:b/>
          <w:color w:val="000000"/>
          <w:sz w:val="32"/>
        </w:rPr>
        <w:t>4.专业群数量*和专业数量*：</w:t>
      </w:r>
      <w:r>
        <w:rPr>
          <w:rFonts w:hint="eastAsia" w:ascii="仿宋_GB2312" w:hAnsi="Times New Roman" w:eastAsia="仿宋_GB2312"/>
          <w:color w:val="000000"/>
          <w:sz w:val="32"/>
        </w:rPr>
        <w:t>专业群数量指学校设置的</w:t>
      </w:r>
      <w:r>
        <w:rPr>
          <w:rFonts w:hint="eastAsia" w:ascii="仿宋_GB2312" w:hAnsi="Times New Roman" w:eastAsia="仿宋_GB2312"/>
          <w:sz w:val="32"/>
        </w:rPr>
        <w:t>专业群的总数。须在说明中逐一列出，否则数据无效；若该</w:t>
      </w:r>
      <w:r>
        <w:rPr>
          <w:rFonts w:hint="eastAsia" w:ascii="仿宋_GB2312" w:hAnsi="Times New Roman" w:eastAsia="仿宋_GB2312"/>
          <w:color w:val="000000"/>
          <w:sz w:val="32"/>
        </w:rPr>
        <w:t>指标</w:t>
      </w:r>
    </w:p>
    <w:p>
      <w:pPr>
        <w:spacing w:line="579" w:lineRule="exact"/>
        <w:rPr>
          <w:rFonts w:ascii="Times New Roman" w:hAnsi="Times New Roman" w:eastAsia="仿宋_GB2312"/>
          <w:sz w:val="32"/>
        </w:rPr>
      </w:pPr>
      <w:r>
        <w:rPr>
          <w:rFonts w:hint="eastAsia" w:ascii="仿宋_GB2312" w:hAnsi="Times New Roman" w:eastAsia="仿宋_GB2312"/>
          <w:color w:val="000000"/>
          <w:sz w:val="32"/>
        </w:rPr>
        <w:t>数值为“0”，则在说明中填写“无”。专业数量指学</w:t>
      </w:r>
      <w:r>
        <w:rPr>
          <w:rFonts w:hint="eastAsia" w:ascii="仿宋_GB2312" w:hAnsi="Times New Roman" w:eastAsia="仿宋_GB2312"/>
          <w:sz w:val="32"/>
        </w:rPr>
        <w:t>校每学年开设的所有专业的总数，没有在校生的专业不予统计。</w:t>
      </w:r>
    </w:p>
    <w:p>
      <w:pPr>
        <w:spacing w:line="579" w:lineRule="exact"/>
        <w:ind w:firstLine="643" w:firstLineChars="200"/>
        <w:rPr>
          <w:rFonts w:ascii="Times New Roman" w:hAnsi="Times New Roman" w:eastAsia="仿宋_GB2312"/>
          <w:b/>
          <w:sz w:val="32"/>
        </w:rPr>
      </w:pPr>
      <w:r>
        <w:rPr>
          <w:rFonts w:ascii="Times New Roman" w:hAnsi="Times New Roman" w:eastAsia="仿宋_GB2312"/>
          <w:b/>
          <w:color w:val="000000"/>
          <w:sz w:val="32"/>
        </w:rPr>
        <w:t>5.教学计划内课程总数*：</w:t>
      </w:r>
      <w:r>
        <w:rPr>
          <w:rFonts w:ascii="Times New Roman" w:hAnsi="Times New Roman" w:eastAsia="仿宋_GB2312"/>
          <w:color w:val="000000"/>
          <w:sz w:val="32"/>
        </w:rPr>
        <w:t>指按照专业人才培养方案要求</w:t>
      </w:r>
      <w:r>
        <w:rPr>
          <w:rFonts w:ascii="Times New Roman" w:hAnsi="Times New Roman" w:eastAsia="仿宋_GB2312"/>
          <w:sz w:val="32"/>
        </w:rPr>
        <w:t>开设的课程总量，包括课程门数和总学时数。其中，课证融通课程*指按照专业人才培养方案要求开设的课程中，课程内容与职业技能等级证书(职业资格证书)相互融合的课程；网络教学课程指按照专业人才培养方案要求，拥有数字化教学资源，并通过网络教学平台开展授课、答疑、讨论以及提交作业和下载课件等基本教学活动的网络课程，建有课程网站但不完全符合上述条件的课程，不能计入网络课程。</w:t>
      </w:r>
    </w:p>
    <w:p>
      <w:pPr>
        <w:spacing w:line="579" w:lineRule="exact"/>
        <w:ind w:firstLine="643" w:firstLineChars="200"/>
        <w:jc w:val="left"/>
        <w:rPr>
          <w:rFonts w:ascii="仿宋_GB2312" w:hAnsi="Times New Roman" w:eastAsia="仿宋_GB2312"/>
          <w:sz w:val="32"/>
        </w:rPr>
      </w:pPr>
      <w:r>
        <w:rPr>
          <w:rFonts w:ascii="Times New Roman" w:hAnsi="Times New Roman" w:eastAsia="仿宋_GB2312"/>
          <w:b/>
          <w:color w:val="000000"/>
          <w:sz w:val="32"/>
        </w:rPr>
        <w:t>6.专业教学资源库数：</w:t>
      </w:r>
      <w:r>
        <w:rPr>
          <w:rFonts w:hint="eastAsia" w:ascii="仿宋_GB2312" w:hAnsi="Times New Roman" w:eastAsia="仿宋_GB2312"/>
          <w:color w:val="000000"/>
          <w:sz w:val="32"/>
        </w:rPr>
        <w:t>指截至2023年8月31日学校主</w:t>
      </w:r>
      <w:r>
        <w:rPr>
          <w:rFonts w:hint="eastAsia" w:ascii="仿宋_GB2312" w:hAnsi="Times New Roman" w:eastAsia="仿宋_GB2312"/>
          <w:sz w:val="32"/>
        </w:rPr>
        <w:t>持或参与建设的教学资源库总数量，包括国家级、省级和校级教学资源库。分别统计国家级*、省级、校级教学资源库</w:t>
      </w:r>
      <w:r>
        <w:rPr>
          <w:rFonts w:hint="eastAsia" w:ascii="仿宋_GB2312" w:hAnsi="Times New Roman" w:eastAsia="仿宋_GB2312"/>
          <w:color w:val="000000"/>
          <w:sz w:val="32"/>
        </w:rPr>
        <w:t>数量以及分别接入国家职业教育智慧教育平台“专业与课</w:t>
      </w:r>
      <w:r>
        <w:rPr>
          <w:rFonts w:hint="eastAsia" w:ascii="仿宋_GB2312" w:hAnsi="Times New Roman" w:eastAsia="仿宋_GB2312"/>
          <w:sz w:val="32"/>
        </w:rPr>
        <w:t>程服务中心”的教学资源库数量*。</w:t>
      </w:r>
    </w:p>
    <w:p>
      <w:pPr>
        <w:spacing w:line="579" w:lineRule="exact"/>
        <w:ind w:firstLine="643" w:firstLineChars="200"/>
        <w:rPr>
          <w:rFonts w:ascii="Times New Roman" w:hAnsi="Times New Roman" w:eastAsia="仿宋_GB2312"/>
          <w:b/>
          <w:sz w:val="32"/>
        </w:rPr>
      </w:pPr>
      <w:r>
        <w:rPr>
          <w:rFonts w:ascii="Times New Roman" w:hAnsi="Times New Roman" w:eastAsia="仿宋_GB2312"/>
          <w:b/>
          <w:color w:val="000000"/>
          <w:sz w:val="32"/>
        </w:rPr>
        <w:t>7.在线精品课程数*：</w:t>
      </w:r>
      <w:r>
        <w:rPr>
          <w:rFonts w:hint="eastAsia" w:ascii="仿宋_GB2312" w:hAnsi="Times New Roman" w:eastAsia="仿宋_GB2312"/>
          <w:color w:val="000000"/>
          <w:sz w:val="32"/>
        </w:rPr>
        <w:t>指截至2023年8月31日学校建设</w:t>
      </w:r>
      <w:r>
        <w:rPr>
          <w:rFonts w:hint="eastAsia" w:ascii="仿宋_GB2312" w:hAnsi="Times New Roman" w:eastAsia="仿宋_GB2312"/>
          <w:sz w:val="32"/>
        </w:rPr>
        <w:t>的在线精品课程总数，在线精品课程即精品在线课程，包括国家级、省级和校级在线精品课。在线精品课程课均学生数*为选择在线精品课程的学生累计数/在线精品课程门数；分别统计国家级*、省级、校级在线精品课程数量以及分别接</w:t>
      </w:r>
      <w:r>
        <w:rPr>
          <w:rFonts w:hint="eastAsia" w:ascii="仿宋_GB2312" w:hAnsi="Times New Roman" w:eastAsia="仿宋_GB2312"/>
          <w:color w:val="000000"/>
          <w:sz w:val="32"/>
        </w:rPr>
        <w:t>入国家职业教育智慧教育平台“专业与课程服务中心”的</w:t>
      </w:r>
      <w:r>
        <w:rPr>
          <w:rFonts w:hint="eastAsia" w:ascii="仿宋_GB2312" w:hAnsi="Times New Roman" w:eastAsia="仿宋_GB2312"/>
          <w:sz w:val="32"/>
        </w:rPr>
        <w:t>在线精品课程数量*。</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8.虚拟仿真实训基地数：</w:t>
      </w:r>
      <w:r>
        <w:rPr>
          <w:rFonts w:ascii="Times New Roman" w:hAnsi="Times New Roman" w:eastAsia="仿宋_GB2312"/>
          <w:color w:val="000000"/>
          <w:sz w:val="32"/>
        </w:rPr>
        <w:t>指截至2023年8月31日以学</w:t>
      </w:r>
      <w:r>
        <w:rPr>
          <w:rFonts w:ascii="Times New Roman" w:hAnsi="Times New Roman" w:eastAsia="仿宋_GB2312"/>
          <w:sz w:val="32"/>
        </w:rPr>
        <w:t>校为基本单元，通过虚拟现实、人工智能、数字孪生、物联网、大数据等新一代信息技术建设的虚拟仿真实训基地总数量，包括国家级、省级和校级教学资源库。分别统计国家级*、省级、校级虚拟仿真实训基地数量以及分别接入国家职业教育智慧教育平台*“虚拟仿真实训中心”的虚拟仿真实训基地数量*。</w:t>
      </w:r>
    </w:p>
    <w:p>
      <w:pPr>
        <w:spacing w:line="579" w:lineRule="exact"/>
        <w:ind w:firstLine="640" w:firstLineChars="200"/>
        <w:rPr>
          <w:rFonts w:ascii="Times New Roman" w:hAnsi="Times New Roman" w:eastAsia="仿宋_GB2312"/>
          <w:sz w:val="32"/>
        </w:rPr>
      </w:pPr>
      <w:r>
        <w:rPr>
          <w:rFonts w:ascii="Times New Roman" w:hAnsi="Times New Roman" w:eastAsia="仿宋_GB2312"/>
          <w:color w:val="000000"/>
          <w:sz w:val="32"/>
        </w:rPr>
        <w:t>9</w:t>
      </w:r>
      <w:r>
        <w:rPr>
          <w:rFonts w:ascii="Times New Roman" w:hAnsi="Times New Roman" w:eastAsia="仿宋_GB2312"/>
          <w:b/>
          <w:color w:val="000000"/>
          <w:sz w:val="32"/>
        </w:rPr>
        <w:t>.编写教材数：</w:t>
      </w:r>
      <w:r>
        <w:rPr>
          <w:rFonts w:ascii="Times New Roman" w:hAnsi="Times New Roman" w:eastAsia="仿宋_GB2312"/>
          <w:color w:val="000000"/>
          <w:sz w:val="32"/>
        </w:rPr>
        <w:t>指学校主编或参编正式出版的教材总数。</w:t>
      </w:r>
      <w:r>
        <w:rPr>
          <w:rFonts w:ascii="Times New Roman" w:hAnsi="Times New Roman" w:eastAsia="仿宋_GB2312"/>
          <w:sz w:val="32"/>
        </w:rPr>
        <w:t>其中，国家规划教材数量*为已列入国家规划教材的数量；校企合作编写教材数量为学校和企业合作编写的教材数量；新形态教材数量为“纸质+数字化资源”教材数量，新形态教材是基于移动互联网技术，以纸质教材为载体，嵌入数字资源，能够实现教材、课堂、教学资源三者融合，线上线下结合的教材出版新模式；接入国家智慧教育平台数量*为已接入国家职业教育智慧教育平台“教材资源中心”的教材数量。</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10.互联网出口带宽*：</w:t>
      </w:r>
      <w:r>
        <w:rPr>
          <w:rFonts w:ascii="Times New Roman" w:hAnsi="Times New Roman" w:eastAsia="仿宋_GB2312"/>
          <w:color w:val="000000"/>
          <w:sz w:val="32"/>
        </w:rPr>
        <w:t>指校园网接入互联网的出口带宽</w:t>
      </w:r>
      <w:r>
        <w:rPr>
          <w:rFonts w:ascii="Times New Roman" w:hAnsi="Times New Roman" w:eastAsia="仿宋_GB2312"/>
          <w:sz w:val="32"/>
        </w:rPr>
        <w:t>之和。通过城域网形成逻辑校园网的，按学校接入城域网带宽填写；未建立校园网但已接入互联网的，填写接入互联网带宽。</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11.校园网主干最大带宽*：</w:t>
      </w:r>
      <w:r>
        <w:rPr>
          <w:rFonts w:ascii="Times New Roman" w:hAnsi="Times New Roman" w:eastAsia="仿宋_GB2312"/>
          <w:sz w:val="32"/>
        </w:rPr>
        <w:t>指学校内部局域网络环境主干带宽。</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12.生均校内实践教学工位数*：</w:t>
      </w:r>
      <w:r>
        <w:rPr>
          <w:rFonts w:ascii="Times New Roman" w:hAnsi="Times New Roman" w:eastAsia="仿宋_GB2312"/>
          <w:sz w:val="32"/>
        </w:rPr>
        <w:t>即校内实践教学工位总数/全日制在校生人数。</w:t>
      </w:r>
    </w:p>
    <w:p>
      <w:pPr>
        <w:spacing w:line="579" w:lineRule="exact"/>
        <w:ind w:firstLine="643" w:firstLineChars="200"/>
        <w:rPr>
          <w:rFonts w:ascii="Times New Roman" w:hAnsi="Times New Roman" w:eastAsia="仿宋_GB2312"/>
          <w:b/>
          <w:sz w:val="32"/>
        </w:rPr>
      </w:pPr>
      <w:r>
        <w:rPr>
          <w:rFonts w:ascii="Times New Roman" w:hAnsi="Times New Roman" w:eastAsia="仿宋_GB2312"/>
          <w:b/>
          <w:color w:val="000000"/>
          <w:sz w:val="32"/>
        </w:rPr>
        <w:t>13.生均教学科研仪器设备值*：</w:t>
      </w:r>
      <w:r>
        <w:rPr>
          <w:rFonts w:ascii="Times New Roman" w:hAnsi="Times New Roman" w:eastAsia="仿宋_GB2312"/>
          <w:color w:val="000000"/>
          <w:sz w:val="32"/>
        </w:rPr>
        <w:t>即学校教学科研实习仪</w:t>
      </w:r>
      <w:r>
        <w:rPr>
          <w:rFonts w:ascii="Times New Roman" w:hAnsi="Times New Roman" w:eastAsia="仿宋_GB2312"/>
          <w:sz w:val="32"/>
        </w:rPr>
        <w:t>器设备资产值/全日制在校生人数。教学科研实习仪器设备资产值指学校固定资产中用于教学、实验、科研、实习等仪器设备的资产值，资产值指固定资产账面值。</w:t>
      </w:r>
    </w:p>
    <w:p>
      <w:pPr>
        <w:spacing w:line="579" w:lineRule="exact"/>
        <w:ind w:firstLine="643" w:firstLineChars="200"/>
        <w:jc w:val="left"/>
        <w:rPr>
          <w:rFonts w:ascii="Times New Roman" w:hAnsi="Times New Roman" w:eastAsia="楷体"/>
          <w:b/>
          <w:sz w:val="32"/>
        </w:rPr>
      </w:pPr>
      <w:r>
        <w:rPr>
          <w:rFonts w:ascii="Times New Roman" w:hAnsi="Times New Roman" w:eastAsia="楷体"/>
          <w:b/>
          <w:sz w:val="32"/>
        </w:rPr>
        <w:t>(四)服务贡献表指标及内涵说明</w:t>
      </w:r>
    </w:p>
    <w:p>
      <w:pPr>
        <w:spacing w:line="579" w:lineRule="exact"/>
        <w:ind w:firstLine="640" w:firstLineChars="200"/>
        <w:rPr>
          <w:rFonts w:ascii="Times New Roman" w:hAnsi="Times New Roman" w:eastAsia="仿宋_GB2312"/>
          <w:sz w:val="32"/>
        </w:rPr>
      </w:pPr>
      <w:r>
        <w:rPr>
          <w:rFonts w:ascii="Times New Roman" w:hAnsi="Times New Roman" w:eastAsia="仿宋_GB2312"/>
          <w:sz w:val="32"/>
        </w:rPr>
        <w:t>服务贡献表系反映职业学校服务地方和行业发展的管理评价工具，共采集7个指标，包括18个字段(表4)。</w:t>
      </w:r>
    </w:p>
    <w:p>
      <w:pPr>
        <w:spacing w:line="579" w:lineRule="exact"/>
        <w:ind w:firstLine="640" w:firstLineChars="200"/>
        <w:rPr>
          <w:rFonts w:ascii="Times New Roman" w:hAnsi="Times New Roman" w:eastAsia="仿宋_GB2312"/>
          <w:sz w:val="32"/>
        </w:rPr>
      </w:pPr>
    </w:p>
    <w:tbl>
      <w:tblPr>
        <w:tblStyle w:val="16"/>
        <w:tblpPr w:leftFromText="180" w:rightFromText="180" w:vertAnchor="text" w:horzAnchor="page" w:tblpX="1853" w:tblpY="-394"/>
        <w:tblOverlap w:val="never"/>
        <w:tblW w:w="8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4596"/>
        <w:gridCol w:w="1047"/>
        <w:gridCol w:w="196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8338" w:type="dxa"/>
            <w:gridSpan w:val="4"/>
            <w:tcBorders>
              <w:top w:val="nil"/>
              <w:left w:val="nil"/>
              <w:right w:val="nil"/>
            </w:tcBorders>
          </w:tcPr>
          <w:p>
            <w:pPr>
              <w:spacing w:before="100" w:line="226" w:lineRule="auto"/>
              <w:jc w:val="center"/>
              <w:outlineLvl w:val="2"/>
              <w:rPr>
                <w:rFonts w:ascii="Times New Roman" w:hAnsi="Times New Roman" w:eastAsia="Times New Roman" w:cs="Times New Roman"/>
                <w:spacing w:val="-2"/>
                <w:sz w:val="24"/>
                <w:szCs w:val="24"/>
              </w:rPr>
            </w:pPr>
            <w:r>
              <w:rPr>
                <w:rFonts w:ascii="黑体" w:hAnsi="黑体" w:eastAsia="黑体" w:cs="黑体"/>
                <w:spacing w:val="4"/>
                <w:sz w:val="31"/>
                <w:szCs w:val="31"/>
              </w:rPr>
              <w:t>表</w:t>
            </w:r>
            <w:r>
              <w:rPr>
                <w:rFonts w:ascii="Times New Roman" w:hAnsi="Times New Roman" w:eastAsia="Times New Roman" w:cs="Times New Roman"/>
                <w:spacing w:val="4"/>
                <w:sz w:val="31"/>
                <w:szCs w:val="31"/>
              </w:rPr>
              <w:t>4</w:t>
            </w:r>
            <w:r>
              <w:rPr>
                <w:rFonts w:ascii="黑体" w:hAnsi="黑体" w:eastAsia="黑体" w:cs="黑体"/>
                <w:spacing w:val="4"/>
                <w:sz w:val="31"/>
                <w:szCs w:val="31"/>
              </w:rPr>
              <w:t>服务贡献表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732" w:type="dxa"/>
          </w:tcPr>
          <w:p>
            <w:pPr>
              <w:spacing w:before="77" w:line="223" w:lineRule="auto"/>
              <w:ind w:left="133"/>
              <w:outlineLvl w:val="1"/>
              <w:rPr>
                <w:rFonts w:ascii="黑体" w:hAnsi="黑体" w:eastAsia="黑体" w:cs="黑体"/>
                <w:sz w:val="24"/>
                <w:szCs w:val="24"/>
              </w:rPr>
            </w:pPr>
            <w:r>
              <w:rPr>
                <w:rFonts w:ascii="黑体" w:hAnsi="黑体" w:eastAsia="黑体" w:cs="黑体"/>
                <w:spacing w:val="-5"/>
                <w:sz w:val="24"/>
                <w:szCs w:val="24"/>
              </w:rPr>
              <w:t>序号</w:t>
            </w:r>
          </w:p>
        </w:tc>
        <w:tc>
          <w:tcPr>
            <w:tcW w:w="4596" w:type="dxa"/>
          </w:tcPr>
          <w:p>
            <w:pPr>
              <w:spacing w:before="77" w:line="223" w:lineRule="auto"/>
              <w:ind w:left="2141"/>
              <w:outlineLvl w:val="1"/>
              <w:rPr>
                <w:rFonts w:ascii="黑体" w:hAnsi="黑体" w:eastAsia="黑体" w:cs="黑体"/>
                <w:sz w:val="24"/>
                <w:szCs w:val="24"/>
              </w:rPr>
            </w:pPr>
            <w:r>
              <w:rPr>
                <w:rFonts w:ascii="黑体" w:hAnsi="黑体" w:eastAsia="黑体" w:cs="黑体"/>
                <w:spacing w:val="-5"/>
                <w:sz w:val="24"/>
                <w:szCs w:val="24"/>
              </w:rPr>
              <w:t>指标</w:t>
            </w:r>
          </w:p>
        </w:tc>
        <w:tc>
          <w:tcPr>
            <w:tcW w:w="1047" w:type="dxa"/>
          </w:tcPr>
          <w:p>
            <w:pPr>
              <w:spacing w:before="78" w:line="222" w:lineRule="auto"/>
              <w:ind w:left="220"/>
              <w:outlineLvl w:val="1"/>
              <w:rPr>
                <w:rFonts w:ascii="黑体" w:hAnsi="黑体" w:eastAsia="黑体" w:cs="黑体"/>
                <w:sz w:val="24"/>
                <w:szCs w:val="24"/>
              </w:rPr>
            </w:pPr>
            <w:r>
              <w:rPr>
                <w:rFonts w:ascii="黑体" w:hAnsi="黑体" w:eastAsia="黑体" w:cs="黑体"/>
                <w:spacing w:val="-8"/>
                <w:sz w:val="24"/>
                <w:szCs w:val="24"/>
              </w:rPr>
              <w:t>单位</w:t>
            </w:r>
          </w:p>
        </w:tc>
        <w:tc>
          <w:tcPr>
            <w:tcW w:w="1963" w:type="dxa"/>
          </w:tcPr>
          <w:p>
            <w:pPr>
              <w:spacing w:before="77" w:line="223" w:lineRule="auto"/>
              <w:ind w:left="594"/>
              <w:outlineLvl w:val="1"/>
              <w:rPr>
                <w:rFonts w:ascii="黑体" w:hAnsi="黑体" w:eastAsia="黑体" w:cs="黑体"/>
                <w:sz w:val="24"/>
                <w:szCs w:val="24"/>
              </w:rPr>
            </w:pPr>
            <w:r>
              <w:rPr>
                <w:rFonts w:ascii="Times New Roman" w:hAnsi="Times New Roman" w:eastAsia="Times New Roman" w:cs="Times New Roman"/>
                <w:spacing w:val="-2"/>
                <w:sz w:val="24"/>
                <w:szCs w:val="24"/>
              </w:rPr>
              <w:t>2023</w:t>
            </w:r>
            <w:r>
              <w:rPr>
                <w:rFonts w:ascii="黑体" w:hAnsi="黑体" w:eastAsia="黑体" w:cs="黑体"/>
                <w:spacing w:val="-2"/>
                <w:sz w:val="24"/>
                <w:szCs w:val="24"/>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2"/>
                <w:sz w:val="24"/>
                <w:szCs w:val="24"/>
              </w:rPr>
              <w:t>毕业生初次就业人数</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bottom w:val="nil"/>
            </w:tcBorders>
            <w:vAlign w:val="center"/>
          </w:tcPr>
          <w:p>
            <w:pPr>
              <w:pStyle w:val="15"/>
              <w:jc w:val="center"/>
            </w:pP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7"/>
                <w:sz w:val="24"/>
                <w:szCs w:val="24"/>
              </w:rPr>
              <w:t>其中：</w:t>
            </w:r>
            <w:r>
              <w:rPr>
                <w:rFonts w:ascii="Times New Roman" w:hAnsi="Times New Roman" w:eastAsia="Times New Roman" w:cs="Times New Roman"/>
                <w:spacing w:val="-7"/>
                <w:sz w:val="24"/>
                <w:szCs w:val="24"/>
              </w:rPr>
              <w:t>A</w:t>
            </w:r>
            <w:r>
              <w:rPr>
                <w:rFonts w:ascii="仿宋" w:hAnsi="仿宋" w:eastAsia="仿宋" w:cs="仿宋"/>
                <w:spacing w:val="-7"/>
                <w:sz w:val="24"/>
                <w:szCs w:val="24"/>
              </w:rPr>
              <w:t>类：留在当地就业</w:t>
            </w:r>
            <w:r>
              <w:rPr>
                <w:rFonts w:ascii="Times New Roman" w:hAnsi="Times New Roman" w:eastAsia="Times New Roman" w:cs="Times New Roman"/>
                <w:spacing w:val="-7"/>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bottom w:val="nil"/>
            </w:tcBorders>
            <w:vAlign w:val="center"/>
          </w:tcPr>
          <w:p>
            <w:pPr>
              <w:pStyle w:val="15"/>
              <w:jc w:val="center"/>
            </w:pPr>
          </w:p>
        </w:tc>
        <w:tc>
          <w:tcPr>
            <w:tcW w:w="4596" w:type="dxa"/>
            <w:vAlign w:val="center"/>
          </w:tcPr>
          <w:p>
            <w:pPr>
              <w:ind w:left="796" w:leftChars="379"/>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B</w:t>
            </w:r>
            <w:r>
              <w:rPr>
                <w:rFonts w:ascii="仿宋" w:hAnsi="仿宋" w:eastAsia="仿宋" w:cs="仿宋"/>
                <w:spacing w:val="-2"/>
                <w:sz w:val="24"/>
                <w:szCs w:val="24"/>
              </w:rPr>
              <w:t>类：到西部和东北地区就业</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596" w:type="dxa"/>
            <w:vAlign w:val="center"/>
          </w:tcPr>
          <w:p>
            <w:pPr>
              <w:ind w:left="796" w:leftChars="379"/>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C</w:t>
            </w:r>
            <w:r>
              <w:rPr>
                <w:rFonts w:ascii="仿宋" w:hAnsi="仿宋" w:eastAsia="仿宋" w:cs="仿宋"/>
                <w:spacing w:val="-3"/>
                <w:sz w:val="24"/>
                <w:szCs w:val="24"/>
              </w:rPr>
              <w:t>类：到中小微企业等基层就业</w:t>
            </w:r>
            <w:r>
              <w:rPr>
                <w:rFonts w:ascii="Times New Roman" w:hAnsi="Times New Roman" w:eastAsia="Times New Roman" w:cs="Times New Roman"/>
                <w:spacing w:val="-3"/>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596" w:type="dxa"/>
            <w:vAlign w:val="center"/>
          </w:tcPr>
          <w:p>
            <w:pPr>
              <w:ind w:left="796" w:leftChars="379"/>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D</w:t>
            </w:r>
            <w:r>
              <w:rPr>
                <w:rFonts w:ascii="仿宋" w:hAnsi="仿宋" w:eastAsia="仿宋" w:cs="仿宋"/>
                <w:spacing w:val="-3"/>
                <w:sz w:val="24"/>
                <w:szCs w:val="24"/>
              </w:rPr>
              <w:t>类：到大型企业就业</w:t>
            </w:r>
            <w:r>
              <w:rPr>
                <w:rFonts w:ascii="Times New Roman" w:hAnsi="Times New Roman" w:eastAsia="Times New Roman" w:cs="Times New Roman"/>
                <w:spacing w:val="-3"/>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4596"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横向技术服务到款额</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tcBorders>
            <w:vAlign w:val="center"/>
          </w:tcPr>
          <w:p>
            <w:pPr>
              <w:pStyle w:val="15"/>
              <w:jc w:val="center"/>
            </w:pPr>
          </w:p>
        </w:tc>
        <w:tc>
          <w:tcPr>
            <w:tcW w:w="4596"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横向技术服务产生的经济效益</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2"/>
                <w:sz w:val="24"/>
                <w:szCs w:val="24"/>
              </w:rPr>
              <w:t>纵向科研经费到款额</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2"/>
                <w:sz w:val="24"/>
                <w:szCs w:val="24"/>
              </w:rPr>
              <w:t>技术产权交易收入</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2"/>
                <w:sz w:val="24"/>
                <w:szCs w:val="24"/>
              </w:rPr>
              <w:t>知识产权项目数</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项</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1"/>
                <w:sz w:val="24"/>
                <w:szCs w:val="24"/>
              </w:rPr>
              <w:t>其中：专利授权数量</w:t>
            </w:r>
            <w:r>
              <w:rPr>
                <w:rFonts w:ascii="Times New Roman" w:hAnsi="Times New Roman" w:eastAsia="Times New Roman" w:cs="Times New Roman"/>
                <w:spacing w:val="-1"/>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项</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596" w:type="dxa"/>
            <w:vAlign w:val="center"/>
          </w:tcPr>
          <w:p>
            <w:pPr>
              <w:ind w:left="796" w:leftChars="379"/>
              <w:rPr>
                <w:rFonts w:ascii="Times New Roman" w:hAnsi="Times New Roman" w:eastAsia="Times New Roman" w:cs="Times New Roman"/>
                <w:sz w:val="24"/>
                <w:szCs w:val="24"/>
              </w:rPr>
            </w:pPr>
            <w:r>
              <w:rPr>
                <w:rFonts w:ascii="仿宋" w:hAnsi="仿宋" w:eastAsia="仿宋" w:cs="仿宋"/>
                <w:spacing w:val="-2"/>
                <w:sz w:val="24"/>
                <w:szCs w:val="24"/>
              </w:rPr>
              <w:t>发明专利授权数量</w:t>
            </w:r>
            <w:r>
              <w:rPr>
                <w:rFonts w:ascii="Times New Roman" w:hAnsi="Times New Roman" w:eastAsia="Times New Roman" w:cs="Times New Roman"/>
                <w:spacing w:val="-2"/>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项</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596" w:type="dxa"/>
            <w:vAlign w:val="center"/>
          </w:tcPr>
          <w:p>
            <w:pPr>
              <w:ind w:left="796" w:leftChars="379"/>
              <w:rPr>
                <w:rFonts w:ascii="仿宋" w:hAnsi="仿宋" w:eastAsia="仿宋" w:cs="仿宋"/>
                <w:sz w:val="24"/>
                <w:szCs w:val="24"/>
              </w:rPr>
            </w:pPr>
            <w:r>
              <w:rPr>
                <w:rFonts w:ascii="仿宋" w:hAnsi="仿宋" w:eastAsia="仿宋" w:cs="仿宋"/>
                <w:spacing w:val="-3"/>
                <w:sz w:val="24"/>
                <w:szCs w:val="24"/>
              </w:rPr>
              <w:t>专利转让数量</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项</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596" w:type="dxa"/>
            <w:vAlign w:val="center"/>
          </w:tcPr>
          <w:p>
            <w:pPr>
              <w:ind w:left="796" w:leftChars="379"/>
              <w:rPr>
                <w:rFonts w:ascii="仿宋" w:hAnsi="仿宋" w:eastAsia="仿宋" w:cs="仿宋"/>
                <w:sz w:val="24"/>
                <w:szCs w:val="24"/>
              </w:rPr>
            </w:pPr>
            <w:r>
              <w:rPr>
                <w:rFonts w:ascii="仿宋" w:hAnsi="仿宋" w:eastAsia="仿宋" w:cs="仿宋"/>
                <w:spacing w:val="-2"/>
                <w:sz w:val="24"/>
                <w:szCs w:val="24"/>
              </w:rPr>
              <w:t>专利成果转化到款额</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3"/>
                <w:sz w:val="24"/>
                <w:szCs w:val="24"/>
              </w:rPr>
              <w:t>非学历培训项目数</w:t>
            </w:r>
            <w:r>
              <w:rPr>
                <w:rFonts w:ascii="Times New Roman" w:hAnsi="Times New Roman" w:eastAsia="Times New Roman" w:cs="Times New Roman"/>
                <w:spacing w:val="-3"/>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项</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3"/>
                <w:sz w:val="24"/>
                <w:szCs w:val="24"/>
              </w:rPr>
              <w:t>非学历培训学时</w:t>
            </w:r>
            <w:r>
              <w:rPr>
                <w:rFonts w:ascii="Times New Roman" w:hAnsi="Times New Roman" w:eastAsia="Times New Roman" w:cs="Times New Roman"/>
                <w:spacing w:val="-3"/>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596"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1"/>
                <w:sz w:val="24"/>
                <w:szCs w:val="24"/>
              </w:rPr>
              <w:t>公益项目培训学时</w:t>
            </w:r>
            <w:r>
              <w:rPr>
                <w:rFonts w:ascii="Times New Roman" w:hAnsi="Times New Roman" w:eastAsia="Times New Roman" w:cs="Times New Roman"/>
                <w:spacing w:val="-1"/>
                <w:sz w:val="24"/>
                <w:szCs w:val="24"/>
              </w:rPr>
              <w:t>*</w:t>
            </w:r>
          </w:p>
        </w:tc>
        <w:tc>
          <w:tcPr>
            <w:tcW w:w="1047"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3"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732"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4596" w:type="dxa"/>
            <w:vAlign w:val="center"/>
          </w:tcPr>
          <w:p>
            <w:pPr>
              <w:ind w:left="105" w:leftChars="50"/>
              <w:rPr>
                <w:rFonts w:ascii="仿宋" w:hAnsi="仿宋" w:eastAsia="仿宋" w:cs="仿宋"/>
                <w:sz w:val="24"/>
                <w:szCs w:val="24"/>
              </w:rPr>
            </w:pPr>
            <w:r>
              <w:rPr>
                <w:rFonts w:ascii="仿宋" w:hAnsi="仿宋" w:eastAsia="仿宋" w:cs="仿宋"/>
                <w:spacing w:val="-3"/>
                <w:sz w:val="24"/>
                <w:szCs w:val="24"/>
              </w:rPr>
              <w:t>非学历培训到账经费</w:t>
            </w:r>
          </w:p>
        </w:tc>
        <w:tc>
          <w:tcPr>
            <w:tcW w:w="1047"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963" w:type="dxa"/>
            <w:vAlign w:val="center"/>
          </w:tcPr>
          <w:p>
            <w:pPr>
              <w:pStyle w:val="15"/>
            </w:pPr>
          </w:p>
        </w:tc>
      </w:tr>
    </w:tbl>
    <w:p>
      <w:pPr>
        <w:spacing w:line="579" w:lineRule="exact"/>
        <w:ind w:firstLine="640" w:firstLineChars="200"/>
        <w:rPr>
          <w:rFonts w:hint="eastAsia" w:ascii="Times New Roman" w:hAnsi="Times New Roman" w:eastAsia="仿宋_GB2312"/>
          <w:sz w:val="32"/>
        </w:rPr>
      </w:pP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1.毕业生初次就业人数*：</w:t>
      </w:r>
      <w:r>
        <w:rPr>
          <w:rFonts w:ascii="Times New Roman" w:hAnsi="Times New Roman" w:eastAsia="仿宋_GB2312"/>
          <w:sz w:val="32"/>
        </w:rPr>
        <w:t>指学校截至2023年8月31日的</w:t>
      </w:r>
      <w:r>
        <w:rPr>
          <w:rFonts w:hint="eastAsia" w:ascii="Times New Roman" w:hAnsi="Times New Roman" w:eastAsia="仿宋_GB2312"/>
          <w:sz w:val="32"/>
        </w:rPr>
        <w:t>2</w:t>
      </w:r>
      <w:r>
        <w:rPr>
          <w:rFonts w:ascii="Times New Roman" w:hAnsi="Times New Roman" w:eastAsia="仿宋_GB2312"/>
          <w:sz w:val="32"/>
        </w:rPr>
        <w:t>023</w:t>
      </w:r>
      <w:r>
        <w:rPr>
          <w:rFonts w:hint="eastAsia" w:ascii="Times New Roman" w:hAnsi="Times New Roman" w:eastAsia="仿宋_GB2312"/>
          <w:sz w:val="32"/>
        </w:rPr>
        <w:t>届</w:t>
      </w:r>
      <w:r>
        <w:rPr>
          <w:rFonts w:ascii="Times New Roman" w:hAnsi="Times New Roman" w:eastAsia="仿宋_GB2312"/>
          <w:sz w:val="32"/>
        </w:rPr>
        <w:t>协议和合同就业毕业生、自主创业毕业生、灵活就业毕业生和应征入伍毕业生，不包括升学毕业生。其中，A类*指2023届毕业生留在当地(公办学校省级财政投入经费的以省域为</w:t>
      </w:r>
    </w:p>
    <w:p>
      <w:pPr>
        <w:spacing w:line="579" w:lineRule="exact"/>
        <w:jc w:val="left"/>
        <w:rPr>
          <w:rFonts w:ascii="Times New Roman" w:hAnsi="Times New Roman" w:eastAsia="仿宋_GB2312"/>
          <w:sz w:val="32"/>
        </w:rPr>
      </w:pPr>
      <w:r>
        <w:rPr>
          <w:rFonts w:ascii="Times New Roman" w:hAnsi="Times New Roman" w:eastAsia="仿宋_GB2312"/>
          <w:sz w:val="32"/>
        </w:rPr>
        <w:t>“当地”，地级财政投入经费的以地级市域为“当地”，以此类推；民办学校以学校所在地为“当地”；如有异地校区则分别统计)就业人数；B类*指2023届毕业生到西部地区(包括四川、重庆、贵州、云南、西藏、陕西、甘肃、青海、宁夏、新疆、广西、内蒙古12个省份)和东北地区(包括辽宁、吉林、黑龙江3个省份)就业人数；C、D两类*分别指2023届毕业生到中小微企业和大型企业就业人数，具体分类参照国家统计局《统计上大中小微型企业划分办法(2017)》(国统字〔2017〕213号)。</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2.横向技术服务到款额：</w:t>
      </w:r>
      <w:r>
        <w:rPr>
          <w:rFonts w:ascii="Times New Roman" w:hAnsi="Times New Roman" w:eastAsia="仿宋_GB2312"/>
          <w:color w:val="000000"/>
          <w:sz w:val="32"/>
        </w:rPr>
        <w:t>指学校2022年自然年度通过向</w:t>
      </w:r>
      <w:r>
        <w:rPr>
          <w:rFonts w:ascii="Times New Roman" w:hAnsi="Times New Roman" w:eastAsia="仿宋_GB2312"/>
          <w:sz w:val="32"/>
        </w:rPr>
        <w:t>企事业单位及自然人提供技术服务、技术咨询、技术开发、技术转让、技术许可等服务性项目并获得的科研资金，与境外企业、个人开展国际科技合作项目所取得的科研资金及科技捐赠项目取得的资金收入。横向技术服务产生的经济效益</w:t>
      </w:r>
      <w:r>
        <w:rPr>
          <w:rFonts w:ascii="Times New Roman" w:hAnsi="Times New Roman" w:eastAsia="仿宋_GB2312"/>
          <w:color w:val="000000"/>
          <w:sz w:val="32"/>
        </w:rPr>
        <w:t>指学校2022年自然年度为上述企事业单位、自然人提供相</w:t>
      </w:r>
      <w:r>
        <w:rPr>
          <w:rFonts w:ascii="Times New Roman" w:hAnsi="Times New Roman" w:eastAsia="仿宋_GB2312"/>
          <w:sz w:val="32"/>
        </w:rPr>
        <w:t>关服务以及国际科技合作项目中所产生的经济效益，由受益</w:t>
      </w:r>
      <w:r>
        <w:rPr>
          <w:rFonts w:ascii="Times New Roman" w:hAnsi="Times New Roman" w:eastAsia="仿宋_GB2312"/>
          <w:color w:val="000000"/>
          <w:sz w:val="32"/>
        </w:rPr>
        <w:t>方出具证明，并加盖财务章(统计时段为2022年1月1日-12</w:t>
      </w:r>
      <w:r>
        <w:rPr>
          <w:rFonts w:ascii="Times New Roman" w:hAnsi="Times New Roman" w:eastAsia="仿宋_GB2312"/>
          <w:sz w:val="32"/>
        </w:rPr>
        <w:t>月31日)。</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3.纵向科研经费到款额*：</w:t>
      </w:r>
      <w:r>
        <w:rPr>
          <w:rFonts w:ascii="Times New Roman" w:hAnsi="Times New Roman" w:eastAsia="仿宋_GB2312"/>
          <w:color w:val="000000"/>
          <w:sz w:val="32"/>
        </w:rPr>
        <w:t>指学校通过承担国家、地方政</w:t>
      </w:r>
      <w:r>
        <w:rPr>
          <w:rFonts w:ascii="Times New Roman" w:hAnsi="Times New Roman" w:eastAsia="仿宋_GB2312"/>
          <w:sz w:val="32"/>
        </w:rPr>
        <w:t>府常设的计划项目或专项项目取得的科研项目经费收入(统计时段为2022年1月1日-12月31日)。</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4.技术产权交易到款额*：</w:t>
      </w:r>
      <w:r>
        <w:rPr>
          <w:rFonts w:ascii="Times New Roman" w:hAnsi="Times New Roman" w:eastAsia="仿宋_GB2312"/>
          <w:color w:val="000000"/>
          <w:sz w:val="32"/>
        </w:rPr>
        <w:t>指学校对其拥有的科技成果、</w:t>
      </w:r>
      <w:r>
        <w:rPr>
          <w:rFonts w:ascii="Times New Roman" w:hAnsi="Times New Roman" w:eastAsia="仿宋_GB2312"/>
          <w:sz w:val="32"/>
        </w:rPr>
        <w:t>专利技术、专有技术等进行有偿转让取得的收入(统计时段为2022年1月1日-12月31日)。</w:t>
      </w:r>
    </w:p>
    <w:p>
      <w:pPr>
        <w:spacing w:line="579" w:lineRule="exact"/>
        <w:ind w:firstLine="643" w:firstLineChars="200"/>
        <w:rPr>
          <w:rFonts w:ascii="Times New Roman" w:hAnsi="Times New Roman" w:eastAsia="仿宋_GB2312"/>
          <w:sz w:val="32"/>
        </w:rPr>
      </w:pPr>
      <w:r>
        <w:rPr>
          <w:rFonts w:ascii="Times New Roman" w:hAnsi="Times New Roman" w:eastAsia="仿宋_GB2312"/>
          <w:b/>
          <w:sz w:val="32"/>
        </w:rPr>
        <w:t>5.知识产权项目数量*：</w:t>
      </w:r>
      <w:r>
        <w:rPr>
          <w:rFonts w:ascii="Times New Roman" w:hAnsi="Times New Roman" w:eastAsia="仿宋_GB2312"/>
          <w:sz w:val="32"/>
        </w:rPr>
        <w:t>指著作权、专利权属学校的软件著作权、实用新型专利、发明专利、外观设计专利等知识产权项目。专利授权数量*指经国家授权且学校为专利权人的专利数量；发明专利授权数量*指经国家授权且学校为专利权人的发明专利数</w:t>
      </w:r>
      <w:r>
        <w:rPr>
          <w:rFonts w:hint="eastAsia" w:ascii="Times New Roman" w:hAnsi="Times New Roman" w:eastAsia="仿宋_GB2312"/>
          <w:sz w:val="32"/>
        </w:rPr>
        <w:t>；</w:t>
      </w:r>
      <w:r>
        <w:rPr>
          <w:rFonts w:ascii="Times New Roman" w:hAnsi="Times New Roman" w:eastAsia="仿宋_GB2312"/>
          <w:sz w:val="32"/>
        </w:rPr>
        <w:t>专利转让数量指学校转让的专利数量；专利成果转化到款额指学校自然年度(2022年1月1日-12月31日)专利以许可、转让和作价入股等形式完成转化，并通过许可、转让取得的收入和作价入股金额体现的收入总额。</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6.非学历培训项目数*：</w:t>
      </w:r>
      <w:r>
        <w:rPr>
          <w:rFonts w:ascii="Times New Roman" w:hAnsi="Times New Roman" w:eastAsia="仿宋_GB2312"/>
          <w:color w:val="000000"/>
          <w:sz w:val="32"/>
        </w:rPr>
        <w:t>指针对非学历培训开展的培训项</w:t>
      </w:r>
      <w:r>
        <w:rPr>
          <w:rFonts w:ascii="Times New Roman" w:hAnsi="Times New Roman" w:eastAsia="仿宋_GB2312"/>
          <w:sz w:val="32"/>
        </w:rPr>
        <w:t>目数，包括以远程在线、集中等形式开展的培训项目。非学历培训时间*指学校为社会进行的各类非学历培训项目的总学时数。公益项目培训时间*指学校面向社会开展的不收取受训人员任何费用的免费公益培训的累计学时数，不含针对校内学生和教师的培训，每个学时按45分钟计算。</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7.非学历培训到账经费：</w:t>
      </w:r>
      <w:r>
        <w:rPr>
          <w:rFonts w:ascii="Times New Roman" w:hAnsi="Times New Roman" w:eastAsia="仿宋_GB2312"/>
          <w:color w:val="000000"/>
          <w:sz w:val="32"/>
        </w:rPr>
        <w:t>指学校2022年自然年度为社会</w:t>
      </w:r>
      <w:r>
        <w:rPr>
          <w:rFonts w:ascii="Times New Roman" w:hAnsi="Times New Roman" w:eastAsia="仿宋_GB2312"/>
          <w:sz w:val="32"/>
        </w:rPr>
        <w:t>进行的非学历培训实际到款额(统计时段为2022年1月1日-12月31日)。</w:t>
      </w:r>
    </w:p>
    <w:p>
      <w:pPr>
        <w:spacing w:line="579" w:lineRule="exact"/>
        <w:ind w:firstLine="640" w:firstLineChars="200"/>
        <w:jc w:val="left"/>
        <w:rPr>
          <w:rFonts w:hint="eastAsia" w:ascii="Times New Roman" w:hAnsi="Times New Roman" w:eastAsia="仿宋_GB2312"/>
          <w:sz w:val="32"/>
        </w:rPr>
      </w:pPr>
    </w:p>
    <w:p>
      <w:pPr>
        <w:spacing w:line="579" w:lineRule="exact"/>
        <w:ind w:firstLine="643" w:firstLineChars="200"/>
        <w:jc w:val="left"/>
        <w:rPr>
          <w:rFonts w:ascii="Times New Roman" w:hAnsi="Times New Roman" w:eastAsia="楷体"/>
          <w:b/>
          <w:sz w:val="32"/>
        </w:rPr>
      </w:pPr>
      <w:r>
        <w:rPr>
          <w:rFonts w:ascii="Times New Roman" w:hAnsi="Times New Roman" w:eastAsia="楷体"/>
          <w:b/>
          <w:sz w:val="32"/>
        </w:rPr>
        <w:t>(五)国际影响表指标及内涵说明</w:t>
      </w:r>
    </w:p>
    <w:p>
      <w:pPr>
        <w:spacing w:line="579" w:lineRule="exact"/>
        <w:ind w:firstLine="640" w:firstLineChars="200"/>
        <w:rPr>
          <w:rFonts w:ascii="Times New Roman" w:hAnsi="Times New Roman" w:eastAsia="仿宋_GB2312"/>
          <w:sz w:val="32"/>
        </w:rPr>
      </w:pPr>
      <w:r>
        <w:rPr>
          <w:rFonts w:ascii="Times New Roman" w:hAnsi="Times New Roman" w:eastAsia="仿宋_GB2312"/>
          <w:sz w:val="32"/>
        </w:rPr>
        <w:t>国际影响表系反映职业学校国际交流与合作质量并发挥影响力的管理评价工具，共采集7个指标，包括16个字段(表5)。</w:t>
      </w:r>
    </w:p>
    <w:p>
      <w:pPr>
        <w:spacing w:line="579" w:lineRule="exact"/>
        <w:ind w:firstLine="640" w:firstLineChars="200"/>
        <w:rPr>
          <w:rFonts w:ascii="Times New Roman" w:hAnsi="Times New Roman" w:eastAsia="仿宋_GB2312"/>
          <w:sz w:val="32"/>
        </w:rPr>
      </w:pPr>
    </w:p>
    <w:tbl>
      <w:tblPr>
        <w:tblStyle w:val="16"/>
        <w:tblpPr w:leftFromText="180" w:rightFromText="180" w:vertAnchor="text" w:horzAnchor="page" w:tblpX="1761" w:tblpY="74"/>
        <w:tblOverlap w:val="never"/>
        <w:tblW w:w="83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4762"/>
        <w:gridCol w:w="875"/>
        <w:gridCol w:w="19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8338" w:type="dxa"/>
            <w:gridSpan w:val="4"/>
            <w:tcBorders>
              <w:top w:val="nil"/>
              <w:left w:val="nil"/>
              <w:right w:val="nil"/>
            </w:tcBorders>
          </w:tcPr>
          <w:p>
            <w:pPr>
              <w:spacing w:before="101" w:line="228" w:lineRule="auto"/>
              <w:jc w:val="center"/>
              <w:rPr>
                <w:rFonts w:ascii="Times New Roman" w:hAnsi="Times New Roman" w:eastAsia="Times New Roman" w:cs="Times New Roman"/>
                <w:spacing w:val="-2"/>
                <w:sz w:val="24"/>
                <w:szCs w:val="24"/>
              </w:rPr>
            </w:pPr>
            <w:r>
              <w:rPr>
                <w:rFonts w:ascii="黑体" w:hAnsi="黑体" w:eastAsia="黑体" w:cs="黑体"/>
                <w:spacing w:val="-1"/>
                <w:sz w:val="31"/>
                <w:szCs w:val="31"/>
              </w:rPr>
              <w:t>表</w:t>
            </w:r>
            <w:r>
              <w:rPr>
                <w:rFonts w:ascii="Times New Roman" w:hAnsi="Times New Roman" w:eastAsia="Times New Roman" w:cs="Times New Roman"/>
                <w:spacing w:val="-1"/>
                <w:sz w:val="31"/>
                <w:szCs w:val="31"/>
              </w:rPr>
              <w:t>5</w:t>
            </w:r>
            <w:r>
              <w:rPr>
                <w:rFonts w:ascii="黑体" w:hAnsi="黑体" w:eastAsia="黑体" w:cs="黑体"/>
                <w:spacing w:val="-1"/>
                <w:sz w:val="31"/>
                <w:szCs w:val="31"/>
              </w:rPr>
              <w:t>国际影响表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732" w:type="dxa"/>
          </w:tcPr>
          <w:p>
            <w:pPr>
              <w:spacing w:before="77" w:line="223" w:lineRule="auto"/>
              <w:ind w:left="133"/>
              <w:outlineLvl w:val="1"/>
              <w:rPr>
                <w:rFonts w:ascii="黑体" w:hAnsi="黑体" w:eastAsia="黑体" w:cs="黑体"/>
                <w:sz w:val="24"/>
                <w:szCs w:val="24"/>
              </w:rPr>
            </w:pPr>
            <w:r>
              <w:rPr>
                <w:rFonts w:ascii="黑体" w:hAnsi="黑体" w:eastAsia="黑体" w:cs="黑体"/>
                <w:spacing w:val="-5"/>
                <w:sz w:val="24"/>
                <w:szCs w:val="24"/>
              </w:rPr>
              <w:t>序号</w:t>
            </w:r>
          </w:p>
        </w:tc>
        <w:tc>
          <w:tcPr>
            <w:tcW w:w="4762" w:type="dxa"/>
          </w:tcPr>
          <w:p>
            <w:pPr>
              <w:spacing w:before="77" w:line="223" w:lineRule="auto"/>
              <w:ind w:left="2146"/>
              <w:outlineLvl w:val="1"/>
              <w:rPr>
                <w:rFonts w:ascii="黑体" w:hAnsi="黑体" w:eastAsia="黑体" w:cs="黑体"/>
                <w:sz w:val="24"/>
                <w:szCs w:val="24"/>
              </w:rPr>
            </w:pPr>
            <w:r>
              <w:rPr>
                <w:rFonts w:ascii="黑体" w:hAnsi="黑体" w:eastAsia="黑体" w:cs="黑体"/>
                <w:spacing w:val="-5"/>
                <w:sz w:val="24"/>
                <w:szCs w:val="24"/>
              </w:rPr>
              <w:t>指标</w:t>
            </w:r>
          </w:p>
        </w:tc>
        <w:tc>
          <w:tcPr>
            <w:tcW w:w="875" w:type="dxa"/>
          </w:tcPr>
          <w:p>
            <w:pPr>
              <w:spacing w:before="78" w:line="222" w:lineRule="auto"/>
              <w:ind w:left="211"/>
              <w:outlineLvl w:val="1"/>
              <w:rPr>
                <w:rFonts w:ascii="黑体" w:hAnsi="黑体" w:eastAsia="黑体" w:cs="黑体"/>
                <w:sz w:val="24"/>
                <w:szCs w:val="24"/>
              </w:rPr>
            </w:pPr>
            <w:r>
              <w:rPr>
                <w:rFonts w:ascii="黑体" w:hAnsi="黑体" w:eastAsia="黑体" w:cs="黑体"/>
                <w:spacing w:val="-8"/>
                <w:sz w:val="24"/>
                <w:szCs w:val="24"/>
              </w:rPr>
              <w:t>单位</w:t>
            </w:r>
          </w:p>
        </w:tc>
        <w:tc>
          <w:tcPr>
            <w:tcW w:w="1969" w:type="dxa"/>
          </w:tcPr>
          <w:p>
            <w:pPr>
              <w:spacing w:before="77" w:line="223" w:lineRule="auto"/>
              <w:ind w:left="597"/>
              <w:outlineLvl w:val="1"/>
              <w:rPr>
                <w:rFonts w:ascii="黑体" w:hAnsi="黑体" w:eastAsia="黑体" w:cs="黑体"/>
                <w:sz w:val="24"/>
                <w:szCs w:val="24"/>
              </w:rPr>
            </w:pPr>
            <w:r>
              <w:rPr>
                <w:rFonts w:ascii="Times New Roman" w:hAnsi="Times New Roman" w:eastAsia="Times New Roman" w:cs="Times New Roman"/>
                <w:spacing w:val="-2"/>
                <w:sz w:val="24"/>
                <w:szCs w:val="24"/>
              </w:rPr>
              <w:t>2023</w:t>
            </w:r>
            <w:r>
              <w:rPr>
                <w:rFonts w:ascii="黑体" w:hAnsi="黑体" w:eastAsia="黑体" w:cs="黑体"/>
                <w:spacing w:val="-2"/>
                <w:sz w:val="24"/>
                <w:szCs w:val="24"/>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接收国外留学生专业数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bottom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接收国外留学生人数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接收国外访学教师人数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开发并被国外采用的职业教育标准数量</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其中：专业标准</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732" w:type="dxa"/>
            <w:vMerge w:val="continue"/>
            <w:tcBorders>
              <w:top w:val="nil"/>
              <w:bottom w:val="nil"/>
            </w:tcBorders>
            <w:vAlign w:val="center"/>
          </w:tcPr>
          <w:p>
            <w:pPr>
              <w:pStyle w:val="15"/>
              <w:jc w:val="center"/>
            </w:pPr>
          </w:p>
        </w:tc>
        <w:tc>
          <w:tcPr>
            <w:tcW w:w="4762" w:type="dxa"/>
            <w:vAlign w:val="center"/>
          </w:tcPr>
          <w:p>
            <w:pPr>
              <w:ind w:left="819" w:leftChars="390"/>
              <w:rPr>
                <w:rFonts w:ascii="仿宋" w:hAnsi="仿宋" w:eastAsia="仿宋" w:cs="仿宋"/>
                <w:sz w:val="24"/>
                <w:szCs w:val="24"/>
              </w:rPr>
            </w:pPr>
            <w:r>
              <w:rPr>
                <w:rFonts w:ascii="仿宋" w:hAnsi="仿宋" w:eastAsia="仿宋" w:cs="仿宋"/>
                <w:spacing w:val="-3"/>
                <w:sz w:val="24"/>
                <w:szCs w:val="24"/>
              </w:rPr>
              <w:t>课程标准</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开发并被国外采用的职业教育资源数量</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开发并被国外采用的职业教育装备数量</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在国外开办学校数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所</w:t>
            </w:r>
          </w:p>
        </w:tc>
        <w:tc>
          <w:tcPr>
            <w:tcW w:w="1969" w:type="dxa"/>
            <w:vAlign w:val="center"/>
          </w:tcPr>
          <w:p>
            <w:pPr>
              <w:jc w:val="center"/>
              <w:rPr>
                <w:rFonts w:ascii="仿宋" w:hAnsi="仿宋" w:eastAsia="仿宋" w:cs="仿宋"/>
                <w:sz w:val="24"/>
                <w:szCs w:val="24"/>
              </w:rPr>
            </w:pPr>
            <w:r>
              <w:rPr>
                <w:rFonts w:ascii="仿宋" w:hAnsi="仿宋" w:eastAsia="仿宋" w:cs="仿宋"/>
                <w:spacing w:val="-8"/>
                <w:sz w:val="24"/>
                <w:szCs w:val="24"/>
              </w:rPr>
              <w:t>中职不填报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bottom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其中：专业数量</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jc w:val="center"/>
              <w:rPr>
                <w:rFonts w:ascii="仿宋" w:hAnsi="仿宋" w:eastAsia="仿宋" w:cs="仿宋"/>
                <w:sz w:val="24"/>
                <w:szCs w:val="24"/>
              </w:rPr>
            </w:pPr>
            <w:r>
              <w:rPr>
                <w:rFonts w:ascii="仿宋" w:hAnsi="仿宋" w:eastAsia="仿宋" w:cs="仿宋"/>
                <w:spacing w:val="-8"/>
                <w:sz w:val="24"/>
                <w:szCs w:val="24"/>
              </w:rPr>
              <w:t>中职不填报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762" w:type="dxa"/>
            <w:vAlign w:val="center"/>
          </w:tcPr>
          <w:p>
            <w:pPr>
              <w:ind w:left="819" w:leftChars="390"/>
              <w:rPr>
                <w:rFonts w:ascii="仿宋" w:hAnsi="仿宋" w:eastAsia="仿宋" w:cs="仿宋"/>
                <w:sz w:val="24"/>
                <w:szCs w:val="24"/>
              </w:rPr>
            </w:pPr>
            <w:r>
              <w:rPr>
                <w:rFonts w:ascii="仿宋" w:hAnsi="仿宋" w:eastAsia="仿宋" w:cs="仿宋"/>
                <w:spacing w:val="-4"/>
                <w:sz w:val="24"/>
                <w:szCs w:val="24"/>
              </w:rPr>
              <w:t>在校生数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9" w:type="dxa"/>
            <w:vAlign w:val="center"/>
          </w:tcPr>
          <w:p>
            <w:pPr>
              <w:jc w:val="center"/>
              <w:rPr>
                <w:rFonts w:ascii="仿宋" w:hAnsi="仿宋" w:eastAsia="仿宋" w:cs="仿宋"/>
                <w:sz w:val="24"/>
                <w:szCs w:val="24"/>
              </w:rPr>
            </w:pPr>
            <w:r>
              <w:rPr>
                <w:rFonts w:ascii="仿宋" w:hAnsi="仿宋" w:eastAsia="仿宋" w:cs="仿宋"/>
                <w:spacing w:val="-8"/>
                <w:sz w:val="24"/>
                <w:szCs w:val="24"/>
              </w:rPr>
              <w:t>中职不填报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5"/>
                <w:sz w:val="24"/>
                <w:szCs w:val="24"/>
              </w:rPr>
              <w:t>中外合作办学专业数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个</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Merge w:val="continue"/>
            <w:tcBorders>
              <w:top w:val="nil"/>
            </w:tcBorders>
            <w:vAlign w:val="center"/>
          </w:tcPr>
          <w:p>
            <w:pPr>
              <w:pStyle w:val="15"/>
              <w:jc w:val="center"/>
            </w:pP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其中：在校生数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专任教师赴国外指导和开展培训时间</w:t>
            </w:r>
          </w:p>
        </w:tc>
        <w:tc>
          <w:tcPr>
            <w:tcW w:w="875" w:type="dxa"/>
            <w:vAlign w:val="center"/>
          </w:tcPr>
          <w:p>
            <w:pPr>
              <w:jc w:val="center"/>
              <w:rPr>
                <w:rFonts w:ascii="仿宋" w:hAnsi="仿宋" w:eastAsia="仿宋" w:cs="仿宋"/>
                <w:sz w:val="24"/>
                <w:szCs w:val="24"/>
              </w:rPr>
            </w:pPr>
            <w:r>
              <w:rPr>
                <w:rFonts w:ascii="仿宋" w:hAnsi="仿宋" w:eastAsia="仿宋" w:cs="仿宋"/>
                <w:spacing w:val="-6"/>
                <w:sz w:val="24"/>
                <w:szCs w:val="24"/>
              </w:rPr>
              <w:t>人日</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trPr>
        <w:tc>
          <w:tcPr>
            <w:tcW w:w="732"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4762"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在国外组织担任职务的专任教师数</w:t>
            </w:r>
          </w:p>
        </w:tc>
        <w:tc>
          <w:tcPr>
            <w:tcW w:w="875"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969" w:type="dxa"/>
            <w:vAlign w:val="center"/>
          </w:tcPr>
          <w:p>
            <w:pPr>
              <w:pStyle w:val="15"/>
              <w:jc w:val="cente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732" w:type="dxa"/>
          </w:tcPr>
          <w:p>
            <w:pPr>
              <w:spacing w:before="122" w:line="185" w:lineRule="auto"/>
              <w:ind w:left="313"/>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4762" w:type="dxa"/>
          </w:tcPr>
          <w:p>
            <w:pPr>
              <w:spacing w:before="80" w:line="216" w:lineRule="auto"/>
              <w:ind w:left="132"/>
              <w:rPr>
                <w:rFonts w:ascii="仿宋" w:hAnsi="仿宋" w:eastAsia="仿宋" w:cs="仿宋"/>
                <w:sz w:val="24"/>
                <w:szCs w:val="24"/>
              </w:rPr>
            </w:pPr>
            <w:r>
              <w:rPr>
                <w:rFonts w:ascii="仿宋" w:hAnsi="仿宋" w:eastAsia="仿宋" w:cs="仿宋"/>
                <w:spacing w:val="-3"/>
                <w:sz w:val="24"/>
                <w:szCs w:val="24"/>
              </w:rPr>
              <w:t>国外技能大赛获奖数量</w:t>
            </w:r>
          </w:p>
        </w:tc>
        <w:tc>
          <w:tcPr>
            <w:tcW w:w="875" w:type="dxa"/>
          </w:tcPr>
          <w:p>
            <w:pPr>
              <w:spacing w:before="77" w:line="219" w:lineRule="auto"/>
              <w:ind w:left="328"/>
              <w:rPr>
                <w:rFonts w:ascii="仿宋" w:hAnsi="仿宋" w:eastAsia="仿宋" w:cs="仿宋"/>
                <w:sz w:val="24"/>
                <w:szCs w:val="24"/>
              </w:rPr>
            </w:pPr>
            <w:r>
              <w:rPr>
                <w:rFonts w:ascii="仿宋" w:hAnsi="仿宋" w:eastAsia="仿宋" w:cs="仿宋"/>
                <w:sz w:val="24"/>
                <w:szCs w:val="24"/>
              </w:rPr>
              <w:t>项</w:t>
            </w:r>
          </w:p>
        </w:tc>
        <w:tc>
          <w:tcPr>
            <w:tcW w:w="1969" w:type="dxa"/>
          </w:tcPr>
          <w:p>
            <w:pPr>
              <w:pStyle w:val="15"/>
            </w:pPr>
          </w:p>
        </w:tc>
      </w:tr>
    </w:tbl>
    <w:p>
      <w:pPr>
        <w:spacing w:line="579" w:lineRule="exact"/>
        <w:ind w:firstLine="640" w:firstLineChars="200"/>
        <w:rPr>
          <w:rFonts w:hint="eastAsia" w:ascii="Times New Roman" w:hAnsi="Times New Roman" w:eastAsia="仿宋_GB2312"/>
          <w:sz w:val="32"/>
        </w:rPr>
      </w:pP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1.接收国外留学生专业数：</w:t>
      </w:r>
      <w:r>
        <w:rPr>
          <w:rFonts w:ascii="Times New Roman" w:hAnsi="Times New Roman" w:eastAsia="仿宋_GB2312"/>
          <w:color w:val="000000"/>
          <w:sz w:val="32"/>
        </w:rPr>
        <w:t>指学校接收培养留学生的专</w:t>
      </w:r>
      <w:r>
        <w:rPr>
          <w:rFonts w:ascii="Times New Roman" w:hAnsi="Times New Roman" w:eastAsia="仿宋_GB2312"/>
          <w:sz w:val="32"/>
        </w:rPr>
        <w:t>业总数。接收国</w:t>
      </w:r>
      <w:r>
        <w:rPr>
          <w:rFonts w:hint="eastAsia" w:ascii="Times New Roman" w:hAnsi="Times New Roman" w:eastAsia="仿宋_GB2312"/>
          <w:sz w:val="32"/>
        </w:rPr>
        <w:t>外</w:t>
      </w:r>
      <w:r>
        <w:rPr>
          <w:rFonts w:ascii="Times New Roman" w:hAnsi="Times New Roman" w:eastAsia="仿宋_GB2312"/>
          <w:sz w:val="32"/>
        </w:rPr>
        <w:t>留学生人数指学校各个专业接收培养的全日制教育的国外留学生总人数。接收国外访学教师人数指学校接收的国外访学的教师总人数。</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2.开发并被国外采用的职业教育标准、资源和装备数量：</w:t>
      </w:r>
      <w:r>
        <w:rPr>
          <w:rFonts w:ascii="Times New Roman" w:hAnsi="Times New Roman" w:eastAsia="仿宋_GB2312"/>
          <w:sz w:val="32"/>
        </w:rPr>
        <w:t>指学校主持或参与开发的职业教育标准、资源和装备，并得到国外同行采用的总数。标准数量包括学校建设标准、专业标准、课程标准、实习实训标准、教学条件标准、师资标准、</w:t>
      </w:r>
      <w:r>
        <w:rPr>
          <w:rFonts w:ascii="Times New Roman" w:hAnsi="Times New Roman" w:eastAsia="仿宋_GB2312"/>
          <w:color w:val="000000"/>
          <w:sz w:val="32"/>
        </w:rPr>
        <w:t>培训标准等的数量；资源数量指教材资源、课程资源、数字</w:t>
      </w:r>
      <w:r>
        <w:rPr>
          <w:rFonts w:ascii="Times New Roman" w:hAnsi="Times New Roman" w:eastAsia="仿宋_GB2312"/>
          <w:sz w:val="32"/>
        </w:rPr>
        <w:t>化资源以及职业教育的解决方案等的数量；装备数量指学校参与开发的专业仪器设备装备、教辅设备、生产线装备、AI</w:t>
      </w:r>
      <w:r>
        <w:rPr>
          <w:rFonts w:ascii="Times New Roman" w:hAnsi="Times New Roman" w:eastAsia="仿宋_GB2312"/>
          <w:color w:val="000000"/>
          <w:sz w:val="32"/>
        </w:rPr>
        <w:t>或VR装备被国外职业教育和培训领域、国际组织、行业协会、国际赛事等采用的数量。</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3.在国外开办学校数：</w:t>
      </w:r>
      <w:r>
        <w:rPr>
          <w:rFonts w:ascii="Times New Roman" w:hAnsi="Times New Roman" w:eastAsia="仿宋_GB2312"/>
          <w:color w:val="000000"/>
          <w:sz w:val="32"/>
        </w:rPr>
        <w:t>指学校在海外举办的职业学校数，</w:t>
      </w:r>
      <w:r>
        <w:rPr>
          <w:rFonts w:ascii="Times New Roman" w:hAnsi="Times New Roman" w:eastAsia="仿宋_GB2312"/>
          <w:sz w:val="32"/>
        </w:rPr>
        <w:t>包括与国外办学机构合作开办的职业学校和在国外独立举办的职业学校数量。其中，专业数量指国外开办学校设置的专业数；在校生数指国外开办学校的在校生总人数。</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4.中外合作办学专业数：</w:t>
      </w:r>
      <w:r>
        <w:rPr>
          <w:rFonts w:ascii="Times New Roman" w:hAnsi="Times New Roman" w:eastAsia="仿宋_GB2312"/>
          <w:color w:val="000000"/>
          <w:sz w:val="32"/>
        </w:rPr>
        <w:t>指学校引进国外优质教育资源，</w:t>
      </w:r>
      <w:r>
        <w:rPr>
          <w:rFonts w:ascii="Times New Roman" w:hAnsi="Times New Roman" w:eastAsia="仿宋_GB2312"/>
          <w:sz w:val="32"/>
        </w:rPr>
        <w:t>与国境外大学合作的专业数量。高职院校填写经教育行政部门审批具有全日制招生资格的中外合作专业数量；中职院校填写与国外学校合作的专业数量。在校生数指中外合作办学专业的在校生总数。</w:t>
      </w:r>
    </w:p>
    <w:p>
      <w:pPr>
        <w:spacing w:line="579" w:lineRule="exact"/>
        <w:ind w:firstLine="643" w:firstLineChars="200"/>
        <w:rPr>
          <w:rFonts w:ascii="Times New Roman" w:hAnsi="Times New Roman" w:eastAsia="仿宋_GB2312"/>
          <w:b/>
          <w:sz w:val="32"/>
        </w:rPr>
      </w:pPr>
      <w:r>
        <w:rPr>
          <w:rFonts w:ascii="Times New Roman" w:hAnsi="Times New Roman" w:eastAsia="仿宋_GB2312"/>
          <w:b/>
          <w:sz w:val="32"/>
        </w:rPr>
        <w:t>5.专任教师赴国外指导和开展培训时间：</w:t>
      </w:r>
      <w:r>
        <w:rPr>
          <w:rFonts w:ascii="Times New Roman" w:hAnsi="Times New Roman" w:eastAsia="仿宋_GB2312"/>
          <w:sz w:val="32"/>
        </w:rPr>
        <w:t>指学校专任教师到国外进行专业实践教学指导、培训人员、技术服务和研发的工日，一般1名教师工作1天为1人日。</w:t>
      </w:r>
    </w:p>
    <w:p>
      <w:pPr>
        <w:spacing w:line="579" w:lineRule="exact"/>
        <w:ind w:firstLine="643" w:firstLineChars="200"/>
        <w:rPr>
          <w:rFonts w:ascii="Times New Roman" w:hAnsi="Times New Roman" w:eastAsia="仿宋_GB2312"/>
          <w:b/>
          <w:sz w:val="32"/>
        </w:rPr>
      </w:pPr>
      <w:r>
        <w:rPr>
          <w:rFonts w:ascii="Times New Roman" w:hAnsi="Times New Roman" w:eastAsia="仿宋_GB2312"/>
          <w:b/>
          <w:sz w:val="32"/>
        </w:rPr>
        <w:t>6.在国外组织担任职务的专任教师数：</w:t>
      </w:r>
      <w:r>
        <w:rPr>
          <w:rFonts w:ascii="Times New Roman" w:hAnsi="Times New Roman" w:eastAsia="仿宋_GB2312"/>
          <w:sz w:val="32"/>
        </w:rPr>
        <w:t>指在国外团体或国际机构中担任专职或兼职工作的专任教师数量。</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color w:val="000000"/>
          <w:sz w:val="32"/>
        </w:rPr>
        <w:t>7.国外技能大赛获奖数量：</w:t>
      </w:r>
      <w:r>
        <w:rPr>
          <w:rFonts w:ascii="Times New Roman" w:hAnsi="Times New Roman" w:eastAsia="仿宋_GB2312"/>
          <w:color w:val="000000"/>
          <w:sz w:val="32"/>
        </w:rPr>
        <w:t>指学校师生在与专业教学相</w:t>
      </w:r>
      <w:r>
        <w:rPr>
          <w:rFonts w:ascii="Times New Roman" w:hAnsi="Times New Roman" w:eastAsia="仿宋_GB2312"/>
          <w:sz w:val="32"/>
        </w:rPr>
        <w:t>关的国外技能大赛中获得奖项的总数，包括在国内举办的国际技能大赛上所获奖项。</w:t>
      </w:r>
    </w:p>
    <w:p>
      <w:pPr>
        <w:spacing w:line="579" w:lineRule="exact"/>
        <w:ind w:firstLine="640" w:firstLineChars="200"/>
        <w:jc w:val="left"/>
        <w:rPr>
          <w:rFonts w:hint="eastAsia" w:ascii="Times New Roman" w:hAnsi="Times New Roman" w:eastAsia="仿宋_GB2312"/>
          <w:sz w:val="32"/>
        </w:rPr>
      </w:pPr>
    </w:p>
    <w:p>
      <w:pPr>
        <w:spacing w:line="579" w:lineRule="exact"/>
        <w:ind w:firstLine="643" w:firstLineChars="200"/>
        <w:jc w:val="left"/>
        <w:rPr>
          <w:rFonts w:ascii="Times New Roman" w:hAnsi="Times New Roman" w:eastAsia="楷体"/>
          <w:b/>
          <w:sz w:val="32"/>
        </w:rPr>
      </w:pPr>
      <w:r>
        <w:rPr>
          <w:rFonts w:ascii="Times New Roman" w:hAnsi="Times New Roman" w:eastAsia="楷体"/>
          <w:b/>
          <w:sz w:val="32"/>
        </w:rPr>
        <w:t>(六)落实政策表指标及内涵说明</w:t>
      </w:r>
    </w:p>
    <w:p>
      <w:pPr>
        <w:spacing w:line="579" w:lineRule="exact"/>
        <w:ind w:firstLine="640" w:firstLineChars="200"/>
        <w:rPr>
          <w:rFonts w:ascii="Times New Roman" w:hAnsi="Times New Roman" w:eastAsia="仿宋_GB2312"/>
          <w:sz w:val="32"/>
        </w:rPr>
      </w:pPr>
      <w:r>
        <w:rPr>
          <w:rFonts w:ascii="Times New Roman" w:hAnsi="Times New Roman" w:eastAsia="仿宋_GB2312"/>
          <w:sz w:val="32"/>
        </w:rPr>
        <w:t>落实政策表系通过院校数据反映政府落实国家发展高职教育政策情况的管理评价工具，共采集10个指标，包括22个字段(表6)。</w:t>
      </w:r>
    </w:p>
    <w:p>
      <w:pPr>
        <w:spacing w:line="579" w:lineRule="exact"/>
        <w:ind w:firstLine="640" w:firstLineChars="200"/>
        <w:rPr>
          <w:rFonts w:ascii="Times New Roman" w:hAnsi="Times New Roman" w:eastAsia="仿宋_GB2312"/>
          <w:sz w:val="32"/>
        </w:rPr>
      </w:pPr>
    </w:p>
    <w:tbl>
      <w:tblPr>
        <w:tblStyle w:val="16"/>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8"/>
        <w:gridCol w:w="4820"/>
        <w:gridCol w:w="720"/>
        <w:gridCol w:w="1175"/>
        <w:gridCol w:w="9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8508" w:type="dxa"/>
            <w:gridSpan w:val="5"/>
            <w:tcBorders>
              <w:top w:val="nil"/>
              <w:left w:val="nil"/>
              <w:right w:val="nil"/>
            </w:tcBorders>
          </w:tcPr>
          <w:p>
            <w:pPr>
              <w:spacing w:before="240" w:line="227" w:lineRule="auto"/>
              <w:ind w:left="3034"/>
              <w:outlineLvl w:val="2"/>
            </w:pPr>
            <w:r>
              <w:rPr>
                <w:rFonts w:ascii="黑体" w:hAnsi="黑体" w:eastAsia="黑体" w:cs="黑体"/>
                <w:spacing w:val="2"/>
                <w:sz w:val="31"/>
                <w:szCs w:val="31"/>
              </w:rPr>
              <w:t>表</w:t>
            </w:r>
            <w:r>
              <w:rPr>
                <w:rFonts w:ascii="Times New Roman" w:hAnsi="Times New Roman" w:eastAsia="Times New Roman" w:cs="Times New Roman"/>
                <w:spacing w:val="2"/>
                <w:sz w:val="31"/>
                <w:szCs w:val="31"/>
              </w:rPr>
              <w:t>6</w:t>
            </w:r>
            <w:r>
              <w:rPr>
                <w:rFonts w:ascii="黑体" w:hAnsi="黑体" w:eastAsia="黑体" w:cs="黑体"/>
                <w:spacing w:val="2"/>
                <w:sz w:val="31"/>
                <w:szCs w:val="31"/>
              </w:rPr>
              <w:t>落实政策表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808" w:type="dxa"/>
          </w:tcPr>
          <w:p>
            <w:pPr>
              <w:spacing w:before="77" w:line="223" w:lineRule="auto"/>
              <w:ind w:left="170"/>
              <w:outlineLvl w:val="1"/>
              <w:rPr>
                <w:rFonts w:ascii="黑体" w:hAnsi="黑体" w:eastAsia="黑体" w:cs="黑体"/>
                <w:sz w:val="24"/>
                <w:szCs w:val="24"/>
              </w:rPr>
            </w:pPr>
            <w:r>
              <w:rPr>
                <w:rFonts w:ascii="黑体" w:hAnsi="黑体" w:eastAsia="黑体" w:cs="黑体"/>
                <w:spacing w:val="-5"/>
                <w:sz w:val="24"/>
                <w:szCs w:val="24"/>
              </w:rPr>
              <w:t>序号</w:t>
            </w:r>
          </w:p>
        </w:tc>
        <w:tc>
          <w:tcPr>
            <w:tcW w:w="4820" w:type="dxa"/>
          </w:tcPr>
          <w:p>
            <w:pPr>
              <w:spacing w:before="77" w:line="223" w:lineRule="auto"/>
              <w:ind w:left="2090"/>
              <w:outlineLvl w:val="1"/>
              <w:rPr>
                <w:rFonts w:ascii="黑体" w:hAnsi="黑体" w:eastAsia="黑体" w:cs="黑体"/>
                <w:sz w:val="24"/>
                <w:szCs w:val="24"/>
              </w:rPr>
            </w:pPr>
            <w:r>
              <w:rPr>
                <w:rFonts w:ascii="黑体" w:hAnsi="黑体" w:eastAsia="黑体" w:cs="黑体"/>
                <w:spacing w:val="-5"/>
                <w:sz w:val="24"/>
                <w:szCs w:val="24"/>
              </w:rPr>
              <w:t>指标</w:t>
            </w:r>
          </w:p>
        </w:tc>
        <w:tc>
          <w:tcPr>
            <w:tcW w:w="720" w:type="dxa"/>
            <w:vAlign w:val="center"/>
          </w:tcPr>
          <w:p>
            <w:pPr>
              <w:jc w:val="center"/>
              <w:outlineLvl w:val="1"/>
              <w:rPr>
                <w:rFonts w:ascii="黑体" w:hAnsi="黑体" w:eastAsia="黑体" w:cs="黑体"/>
                <w:sz w:val="24"/>
                <w:szCs w:val="24"/>
              </w:rPr>
            </w:pPr>
            <w:r>
              <w:rPr>
                <w:rFonts w:ascii="黑体" w:hAnsi="黑体" w:eastAsia="黑体" w:cs="黑体"/>
                <w:spacing w:val="-8"/>
                <w:sz w:val="24"/>
                <w:szCs w:val="24"/>
              </w:rPr>
              <w:t>单位</w:t>
            </w:r>
          </w:p>
        </w:tc>
        <w:tc>
          <w:tcPr>
            <w:tcW w:w="1175" w:type="dxa"/>
          </w:tcPr>
          <w:p>
            <w:pPr>
              <w:spacing w:before="77" w:line="223" w:lineRule="auto"/>
              <w:ind w:left="202"/>
              <w:outlineLvl w:val="1"/>
              <w:rPr>
                <w:rFonts w:ascii="黑体" w:hAnsi="黑体" w:eastAsia="黑体" w:cs="黑体"/>
                <w:sz w:val="24"/>
                <w:szCs w:val="24"/>
              </w:rPr>
            </w:pPr>
            <w:r>
              <w:rPr>
                <w:rFonts w:ascii="Times New Roman" w:hAnsi="Times New Roman" w:eastAsia="Times New Roman" w:cs="Times New Roman"/>
                <w:spacing w:val="-2"/>
                <w:sz w:val="24"/>
                <w:szCs w:val="24"/>
              </w:rPr>
              <w:t>2023</w:t>
            </w:r>
            <w:r>
              <w:rPr>
                <w:rFonts w:ascii="黑体" w:hAnsi="黑体" w:eastAsia="黑体" w:cs="黑体"/>
                <w:spacing w:val="-2"/>
                <w:sz w:val="24"/>
                <w:szCs w:val="24"/>
              </w:rPr>
              <w:t>年</w:t>
            </w:r>
          </w:p>
        </w:tc>
        <w:tc>
          <w:tcPr>
            <w:tcW w:w="985" w:type="dxa"/>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4820"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1"/>
                <w:sz w:val="24"/>
                <w:szCs w:val="24"/>
              </w:rPr>
              <w:t>全日制在校生人数</w:t>
            </w:r>
            <w:r>
              <w:rPr>
                <w:rFonts w:ascii="Times New Roman" w:hAnsi="Times New Roman" w:eastAsia="Times New Roman" w:cs="Times New Roman"/>
                <w:spacing w:val="-1"/>
                <w:sz w:val="24"/>
                <w:szCs w:val="24"/>
              </w:rPr>
              <w:t>*</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年生均财政拨款水平</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元</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年财政专项拨款</w:t>
            </w:r>
          </w:p>
        </w:tc>
        <w:tc>
          <w:tcPr>
            <w:tcW w:w="720" w:type="dxa"/>
            <w:vAlign w:val="center"/>
          </w:tcPr>
          <w:p>
            <w:pPr>
              <w:jc w:val="center"/>
              <w:rPr>
                <w:rFonts w:ascii="仿宋" w:hAnsi="仿宋" w:eastAsia="仿宋" w:cs="仿宋"/>
                <w:sz w:val="24"/>
                <w:szCs w:val="24"/>
              </w:rPr>
            </w:pPr>
            <w:r>
              <w:rPr>
                <w:rFonts w:ascii="仿宋" w:hAnsi="仿宋" w:eastAsia="仿宋" w:cs="仿宋"/>
                <w:spacing w:val="-12"/>
                <w:sz w:val="24"/>
                <w:szCs w:val="24"/>
              </w:rPr>
              <w:t>万元</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jc w:val="center"/>
        </w:trPr>
        <w:tc>
          <w:tcPr>
            <w:tcW w:w="808"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教职员工额定编制数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教职工总数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其中：专任教师总数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819" w:leftChars="390"/>
              <w:rPr>
                <w:rFonts w:ascii="Times New Roman" w:hAnsi="Times New Roman" w:eastAsia="Times New Roman" w:cs="Times New Roman"/>
                <w:sz w:val="24"/>
                <w:szCs w:val="24"/>
              </w:rPr>
            </w:pPr>
            <w:r>
              <w:rPr>
                <w:rFonts w:ascii="仿宋" w:hAnsi="仿宋" w:eastAsia="仿宋" w:cs="仿宋"/>
                <w:spacing w:val="-4"/>
                <w:sz w:val="24"/>
                <w:szCs w:val="24"/>
              </w:rPr>
              <w:t>思政课教师数</w:t>
            </w:r>
            <w:r>
              <w:rPr>
                <w:rFonts w:ascii="Times New Roman" w:hAnsi="Times New Roman" w:eastAsia="Times New Roman" w:cs="Times New Roman"/>
                <w:spacing w:val="-4"/>
                <w:sz w:val="24"/>
                <w:szCs w:val="24"/>
              </w:rPr>
              <w:t>*</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819" w:leftChars="390"/>
              <w:rPr>
                <w:rFonts w:ascii="仿宋" w:hAnsi="仿宋" w:eastAsia="仿宋" w:cs="仿宋"/>
                <w:sz w:val="24"/>
                <w:szCs w:val="24"/>
              </w:rPr>
            </w:pPr>
            <w:r>
              <w:rPr>
                <w:rFonts w:ascii="仿宋" w:hAnsi="仿宋" w:eastAsia="仿宋" w:cs="仿宋"/>
                <w:spacing w:val="-1"/>
                <w:sz w:val="24"/>
                <w:szCs w:val="24"/>
              </w:rPr>
              <w:t>体育课专任教师数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819" w:leftChars="390"/>
              <w:rPr>
                <w:rFonts w:ascii="仿宋" w:hAnsi="仿宋" w:eastAsia="仿宋" w:cs="仿宋"/>
                <w:sz w:val="24"/>
                <w:szCs w:val="24"/>
              </w:rPr>
            </w:pPr>
            <w:r>
              <w:rPr>
                <w:rFonts w:ascii="仿宋" w:hAnsi="仿宋" w:eastAsia="仿宋" w:cs="仿宋"/>
                <w:spacing w:val="-3"/>
                <w:sz w:val="24"/>
                <w:szCs w:val="24"/>
              </w:rPr>
              <w:t>美育课专任教师数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jc w:val="center"/>
              <w:rPr>
                <w:rFonts w:ascii="仿宋" w:hAnsi="仿宋" w:eastAsia="仿宋" w:cs="仿宋"/>
                <w:sz w:val="24"/>
                <w:szCs w:val="24"/>
              </w:rPr>
            </w:pPr>
            <w:r>
              <w:rPr>
                <w:rFonts w:ascii="仿宋" w:hAnsi="仿宋" w:eastAsia="仿宋" w:cs="仿宋"/>
                <w:spacing w:val="-10"/>
                <w:sz w:val="24"/>
                <w:szCs w:val="24"/>
              </w:rPr>
              <w:t>中职填报</w:t>
            </w: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819" w:leftChars="390"/>
              <w:rPr>
                <w:rFonts w:ascii="Times New Roman" w:hAnsi="Times New Roman" w:eastAsia="Times New Roman" w:cs="Times New Roman"/>
                <w:sz w:val="24"/>
                <w:szCs w:val="24"/>
              </w:rPr>
            </w:pPr>
            <w:r>
              <w:rPr>
                <w:rFonts w:ascii="仿宋" w:hAnsi="仿宋" w:eastAsia="仿宋" w:cs="仿宋"/>
                <w:spacing w:val="-3"/>
                <w:sz w:val="24"/>
                <w:szCs w:val="24"/>
              </w:rPr>
              <w:t>辅导员人数</w:t>
            </w:r>
            <w:r>
              <w:rPr>
                <w:rFonts w:ascii="Times New Roman" w:hAnsi="Times New Roman" w:eastAsia="Times New Roman" w:cs="Times New Roman"/>
                <w:spacing w:val="-3"/>
                <w:sz w:val="24"/>
                <w:szCs w:val="24"/>
              </w:rPr>
              <w:t>*</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jc w:val="center"/>
              <w:rPr>
                <w:rFonts w:ascii="仿宋" w:hAnsi="仿宋" w:eastAsia="仿宋" w:cs="仿宋"/>
                <w:sz w:val="24"/>
                <w:szCs w:val="24"/>
              </w:rPr>
            </w:pPr>
            <w:r>
              <w:rPr>
                <w:rFonts w:ascii="仿宋" w:hAnsi="仿宋" w:eastAsia="仿宋" w:cs="仿宋"/>
                <w:spacing w:val="-5"/>
                <w:sz w:val="24"/>
                <w:szCs w:val="24"/>
              </w:rPr>
              <w:t>高职填报</w:t>
            </w: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tcBorders>
            <w:vAlign w:val="center"/>
          </w:tcPr>
          <w:p>
            <w:pPr>
              <w:pStyle w:val="15"/>
              <w:jc w:val="center"/>
            </w:pPr>
          </w:p>
        </w:tc>
        <w:tc>
          <w:tcPr>
            <w:tcW w:w="4820" w:type="dxa"/>
            <w:vAlign w:val="center"/>
          </w:tcPr>
          <w:p>
            <w:pPr>
              <w:ind w:left="819" w:leftChars="390"/>
              <w:rPr>
                <w:rFonts w:ascii="仿宋" w:hAnsi="仿宋" w:eastAsia="仿宋" w:cs="仿宋"/>
                <w:sz w:val="24"/>
                <w:szCs w:val="24"/>
              </w:rPr>
            </w:pPr>
            <w:r>
              <w:rPr>
                <w:rFonts w:ascii="仿宋" w:hAnsi="仿宋" w:eastAsia="仿宋" w:cs="仿宋"/>
                <w:spacing w:val="-4"/>
                <w:sz w:val="24"/>
                <w:szCs w:val="24"/>
              </w:rPr>
              <w:t>班主任人数</w:t>
            </w:r>
          </w:p>
        </w:tc>
        <w:tc>
          <w:tcPr>
            <w:tcW w:w="720" w:type="dxa"/>
            <w:vAlign w:val="center"/>
          </w:tcPr>
          <w:p>
            <w:pPr>
              <w:jc w:val="center"/>
              <w:rPr>
                <w:rFonts w:ascii="仿宋" w:hAnsi="仿宋" w:eastAsia="仿宋" w:cs="仿宋"/>
                <w:sz w:val="24"/>
                <w:szCs w:val="24"/>
              </w:rPr>
            </w:pPr>
            <w:r>
              <w:rPr>
                <w:rFonts w:ascii="仿宋" w:hAnsi="仿宋" w:eastAsia="仿宋" w:cs="仿宋"/>
                <w:sz w:val="24"/>
                <w:szCs w:val="24"/>
              </w:rPr>
              <w:t>人</w:t>
            </w:r>
          </w:p>
        </w:tc>
        <w:tc>
          <w:tcPr>
            <w:tcW w:w="1175" w:type="dxa"/>
            <w:vAlign w:val="center"/>
          </w:tcPr>
          <w:p>
            <w:pPr>
              <w:jc w:val="center"/>
              <w:rPr>
                <w:rFonts w:ascii="仿宋" w:hAnsi="仿宋" w:eastAsia="仿宋" w:cs="仿宋"/>
                <w:sz w:val="24"/>
                <w:szCs w:val="24"/>
              </w:rPr>
            </w:pPr>
            <w:r>
              <w:rPr>
                <w:rFonts w:ascii="仿宋" w:hAnsi="仿宋" w:eastAsia="仿宋" w:cs="仿宋"/>
                <w:spacing w:val="-10"/>
                <w:sz w:val="24"/>
                <w:szCs w:val="24"/>
              </w:rPr>
              <w:t>中职填报</w:t>
            </w: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参加国家学生体质健康标准测试人数</w:t>
            </w:r>
          </w:p>
        </w:tc>
        <w:tc>
          <w:tcPr>
            <w:tcW w:w="720" w:type="dxa"/>
            <w:vAlign w:val="center"/>
          </w:tcPr>
          <w:p>
            <w:pPr>
              <w:jc w:val="center"/>
              <w:rPr>
                <w:rFonts w:ascii="宋体" w:hAnsi="宋体" w:eastAsia="宋体" w:cs="宋体"/>
                <w:sz w:val="20"/>
                <w:szCs w:val="20"/>
              </w:rPr>
            </w:pPr>
            <w:r>
              <w:rPr>
                <w:rFonts w:ascii="宋体" w:hAnsi="宋体" w:eastAsia="宋体" w:cs="宋体"/>
                <w:sz w:val="20"/>
                <w:szCs w:val="20"/>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tcBorders>
            <w:vAlign w:val="center"/>
          </w:tcPr>
          <w:p>
            <w:pPr>
              <w:pStyle w:val="15"/>
              <w:jc w:val="center"/>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其中：学生体质测评合格率</w:t>
            </w:r>
          </w:p>
        </w:tc>
        <w:tc>
          <w:tcPr>
            <w:tcW w:w="720" w:type="dxa"/>
            <w:vAlign w:val="center"/>
          </w:tcPr>
          <w:p>
            <w:pPr>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6"/>
                <w:sz w:val="24"/>
                <w:szCs w:val="24"/>
              </w:rPr>
              <w:t>职业技能等级证书（含职业资格证书）获取人数</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4820" w:type="dxa"/>
            <w:vAlign w:val="center"/>
          </w:tcPr>
          <w:p>
            <w:pPr>
              <w:ind w:left="105" w:leftChars="50"/>
              <w:rPr>
                <w:rFonts w:ascii="仿宋" w:hAnsi="仿宋" w:eastAsia="仿宋" w:cs="仿宋"/>
                <w:spacing w:val="-5"/>
                <w:position w:val="-3"/>
                <w:sz w:val="24"/>
                <w:szCs w:val="24"/>
              </w:rPr>
            </w:pPr>
            <w:r>
              <w:rPr>
                <w:rFonts w:ascii="仿宋" w:hAnsi="仿宋" w:eastAsia="仿宋" w:cs="仿宋"/>
                <w:spacing w:val="-1"/>
                <w:sz w:val="24"/>
                <w:szCs w:val="24"/>
              </w:rPr>
              <w:t>企业提供的校内实践教学设备值</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万元</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与企业共建开放型区域产教融合实践中心</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个</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4820"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2"/>
                <w:sz w:val="24"/>
                <w:szCs w:val="24"/>
              </w:rPr>
              <w:t>聘请行业导师人数</w:t>
            </w:r>
            <w:r>
              <w:rPr>
                <w:rFonts w:ascii="Times New Roman" w:hAnsi="Times New Roman" w:eastAsia="Times New Roman" w:cs="Times New Roman"/>
                <w:spacing w:val="-2"/>
                <w:sz w:val="24"/>
                <w:szCs w:val="24"/>
              </w:rPr>
              <w:t>*</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其中：聘请大国工匠、劳动模范人数</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人</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jc w:val="center"/>
        </w:trPr>
        <w:tc>
          <w:tcPr>
            <w:tcW w:w="808" w:type="dxa"/>
            <w:vMerge w:val="continue"/>
            <w:tcBorders>
              <w:top w:val="nil"/>
              <w:bottom w:val="nil"/>
            </w:tcBorders>
            <w:vAlign w:val="center"/>
          </w:tcPr>
          <w:p>
            <w:pPr>
              <w:pStyle w:val="15"/>
              <w:jc w:val="center"/>
            </w:pPr>
          </w:p>
        </w:tc>
        <w:tc>
          <w:tcPr>
            <w:tcW w:w="4820" w:type="dxa"/>
            <w:vAlign w:val="center"/>
          </w:tcPr>
          <w:p>
            <w:pPr>
              <w:ind w:left="105" w:leftChars="50"/>
              <w:rPr>
                <w:rFonts w:ascii="Times New Roman" w:hAnsi="Times New Roman" w:eastAsia="Times New Roman" w:cs="Times New Roman"/>
                <w:sz w:val="24"/>
                <w:szCs w:val="24"/>
              </w:rPr>
            </w:pPr>
            <w:r>
              <w:rPr>
                <w:rFonts w:ascii="仿宋" w:hAnsi="仿宋" w:eastAsia="仿宋" w:cs="仿宋"/>
                <w:spacing w:val="-1"/>
                <w:sz w:val="24"/>
                <w:szCs w:val="24"/>
              </w:rPr>
              <w:t>行业导师年课时总量</w:t>
            </w:r>
            <w:r>
              <w:rPr>
                <w:rFonts w:ascii="Times New Roman" w:hAnsi="Times New Roman" w:eastAsia="Times New Roman" w:cs="Times New Roman"/>
                <w:spacing w:val="-1"/>
                <w:sz w:val="24"/>
                <w:szCs w:val="24"/>
              </w:rPr>
              <w:t>*</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课时</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808" w:type="dxa"/>
            <w:vMerge w:val="continue"/>
            <w:tcBorders>
              <w:top w:val="nil"/>
            </w:tcBorders>
            <w:vAlign w:val="center"/>
          </w:tcPr>
          <w:p>
            <w:pPr>
              <w:pStyle w:val="15"/>
              <w:jc w:val="center"/>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年支付行业导师课酬</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万元</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jc w:val="center"/>
        </w:trPr>
        <w:tc>
          <w:tcPr>
            <w:tcW w:w="808" w:type="dxa"/>
            <w:vMerge w:val="restart"/>
            <w:tcBorders>
              <w:bottom w:val="nil"/>
            </w:tcBorders>
            <w:vAlign w:val="center"/>
          </w:tcPr>
          <w:p>
            <w:pPr>
              <w:jc w:val="center"/>
              <w:outlineLvl w:val="1"/>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10</w:t>
            </w: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2"/>
                <w:sz w:val="24"/>
                <w:szCs w:val="24"/>
              </w:rPr>
              <w:t>年实习专项经费</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万元</w:t>
            </w:r>
          </w:p>
        </w:tc>
        <w:tc>
          <w:tcPr>
            <w:tcW w:w="1175" w:type="dxa"/>
            <w:vAlign w:val="center"/>
          </w:tcPr>
          <w:p>
            <w:pPr>
              <w:pStyle w:val="15"/>
              <w:jc w:val="center"/>
            </w:pPr>
          </w:p>
        </w:tc>
        <w:tc>
          <w:tcPr>
            <w:tcW w:w="985" w:type="dxa"/>
            <w:vAlign w:val="center"/>
          </w:tcPr>
          <w:p>
            <w:pPr>
              <w:pStyle w:val="15"/>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jc w:val="center"/>
        </w:trPr>
        <w:tc>
          <w:tcPr>
            <w:tcW w:w="808" w:type="dxa"/>
            <w:vMerge w:val="continue"/>
            <w:tcBorders>
              <w:top w:val="nil"/>
            </w:tcBorders>
          </w:tcPr>
          <w:p>
            <w:pPr>
              <w:pStyle w:val="15"/>
            </w:pPr>
          </w:p>
        </w:tc>
        <w:tc>
          <w:tcPr>
            <w:tcW w:w="4820" w:type="dxa"/>
            <w:vAlign w:val="center"/>
          </w:tcPr>
          <w:p>
            <w:pPr>
              <w:ind w:left="105" w:leftChars="50"/>
              <w:rPr>
                <w:rFonts w:ascii="仿宋" w:hAnsi="仿宋" w:eastAsia="仿宋" w:cs="仿宋"/>
                <w:sz w:val="24"/>
                <w:szCs w:val="24"/>
              </w:rPr>
            </w:pPr>
            <w:r>
              <w:rPr>
                <w:rFonts w:ascii="仿宋" w:hAnsi="仿宋" w:eastAsia="仿宋" w:cs="仿宋"/>
                <w:spacing w:val="-1"/>
                <w:sz w:val="24"/>
                <w:szCs w:val="24"/>
              </w:rPr>
              <w:t>其中：年实习责任保险经费</w:t>
            </w:r>
          </w:p>
        </w:tc>
        <w:tc>
          <w:tcPr>
            <w:tcW w:w="720" w:type="dxa"/>
            <w:vAlign w:val="center"/>
          </w:tcPr>
          <w:p>
            <w:pPr>
              <w:jc w:val="center"/>
              <w:rPr>
                <w:rFonts w:ascii="仿宋" w:hAnsi="仿宋" w:eastAsia="仿宋" w:cs="仿宋"/>
                <w:spacing w:val="6"/>
                <w:sz w:val="24"/>
                <w:szCs w:val="24"/>
              </w:rPr>
            </w:pPr>
            <w:r>
              <w:rPr>
                <w:rFonts w:ascii="仿宋" w:hAnsi="仿宋" w:eastAsia="仿宋" w:cs="仿宋"/>
                <w:spacing w:val="6"/>
                <w:sz w:val="24"/>
                <w:szCs w:val="24"/>
              </w:rPr>
              <w:t>万元</w:t>
            </w:r>
          </w:p>
        </w:tc>
        <w:tc>
          <w:tcPr>
            <w:tcW w:w="1175" w:type="dxa"/>
            <w:vAlign w:val="center"/>
          </w:tcPr>
          <w:p>
            <w:pPr>
              <w:pStyle w:val="15"/>
              <w:jc w:val="center"/>
            </w:pPr>
          </w:p>
        </w:tc>
        <w:tc>
          <w:tcPr>
            <w:tcW w:w="985" w:type="dxa"/>
            <w:vAlign w:val="center"/>
          </w:tcPr>
          <w:p>
            <w:pPr>
              <w:pStyle w:val="15"/>
            </w:pPr>
          </w:p>
        </w:tc>
      </w:tr>
    </w:tbl>
    <w:p>
      <w:pPr>
        <w:spacing w:line="579" w:lineRule="exact"/>
        <w:ind w:firstLine="640" w:firstLineChars="200"/>
        <w:rPr>
          <w:rFonts w:hint="eastAsia" w:ascii="Times New Roman" w:hAnsi="Times New Roman" w:eastAsia="仿宋_GB2312"/>
          <w:sz w:val="32"/>
        </w:rPr>
      </w:pP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1.全日制在校生人数*：</w:t>
      </w:r>
      <w:r>
        <w:rPr>
          <w:rFonts w:ascii="Times New Roman" w:hAnsi="Times New Roman" w:eastAsia="仿宋_GB2312"/>
          <w:sz w:val="32"/>
        </w:rPr>
        <w:t>指注册全日制学籍，按照国家相关规定在校学习的学生人数。</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2.年生均财政拨款水平*：</w:t>
      </w:r>
      <w:r>
        <w:rPr>
          <w:rFonts w:ascii="Times New Roman" w:hAnsi="Times New Roman" w:eastAsia="仿宋_GB2312"/>
          <w:sz w:val="32"/>
        </w:rPr>
        <w:t>指学校按照生均拨款制度获取的</w:t>
      </w:r>
    </w:p>
    <w:p>
      <w:pPr>
        <w:spacing w:line="579" w:lineRule="exact"/>
        <w:jc w:val="left"/>
        <w:rPr>
          <w:rFonts w:ascii="Times New Roman" w:hAnsi="Times New Roman" w:eastAsia="仿宋_GB2312"/>
          <w:sz w:val="32"/>
        </w:rPr>
      </w:pPr>
      <w:r>
        <w:rPr>
          <w:rFonts w:ascii="Times New Roman" w:hAnsi="Times New Roman" w:eastAsia="仿宋_GB2312"/>
          <w:sz w:val="32"/>
        </w:rPr>
        <w:t>财政拨款经费。</w:t>
      </w:r>
    </w:p>
    <w:p>
      <w:pPr>
        <w:spacing w:line="579" w:lineRule="exact"/>
        <w:ind w:firstLine="643" w:firstLineChars="200"/>
        <w:jc w:val="left"/>
        <w:rPr>
          <w:rFonts w:ascii="Times New Roman" w:hAnsi="Times New Roman" w:eastAsia="仿宋_GB2312"/>
          <w:b/>
          <w:sz w:val="32"/>
        </w:rPr>
      </w:pPr>
      <w:r>
        <w:rPr>
          <w:rFonts w:ascii="Times New Roman" w:hAnsi="Times New Roman" w:eastAsia="仿宋_GB2312"/>
          <w:b/>
          <w:sz w:val="32"/>
        </w:rPr>
        <w:t>3.年财政专项经费*：</w:t>
      </w:r>
      <w:r>
        <w:rPr>
          <w:rFonts w:ascii="Times New Roman" w:hAnsi="Times New Roman" w:eastAsia="仿宋_GB2312"/>
          <w:sz w:val="32"/>
        </w:rPr>
        <w:t>指学校从同级财政部门获得的具有专门用途的拨款收入。</w:t>
      </w:r>
    </w:p>
    <w:p>
      <w:pPr>
        <w:spacing w:line="579" w:lineRule="exact"/>
        <w:ind w:firstLine="643" w:firstLineChars="200"/>
        <w:rPr>
          <w:rFonts w:ascii="Times New Roman" w:hAnsi="Times New Roman" w:eastAsia="仿宋_GB2312"/>
          <w:sz w:val="32"/>
        </w:rPr>
      </w:pPr>
      <w:r>
        <w:rPr>
          <w:rFonts w:ascii="Times New Roman" w:hAnsi="Times New Roman" w:eastAsia="仿宋_GB2312"/>
          <w:b/>
          <w:color w:val="000000"/>
          <w:sz w:val="32"/>
        </w:rPr>
        <w:t>4.教职工额定编制数*：</w:t>
      </w:r>
      <w:r>
        <w:rPr>
          <w:rFonts w:ascii="Times New Roman" w:hAnsi="Times New Roman" w:eastAsia="仿宋_GB2312"/>
          <w:color w:val="000000"/>
          <w:sz w:val="32"/>
        </w:rPr>
        <w:t>公办学校是指人事关系和档案均</w:t>
      </w:r>
      <w:r>
        <w:rPr>
          <w:rFonts w:ascii="Times New Roman" w:hAnsi="Times New Roman" w:eastAsia="仿宋_GB2312"/>
          <w:sz w:val="32"/>
        </w:rPr>
        <w:t>在学校并纳入学校人事编制的额定数，包括管理人员编制、</w:t>
      </w:r>
      <w:r>
        <w:rPr>
          <w:rFonts w:ascii="Times New Roman" w:hAnsi="Times New Roman" w:eastAsia="仿宋_GB2312"/>
          <w:color w:val="000000"/>
          <w:sz w:val="32"/>
        </w:rPr>
        <w:t>专业技术人员编制、工勤人员编制总数量。民办学校是指举</w:t>
      </w:r>
      <w:r>
        <w:rPr>
          <w:rFonts w:ascii="Times New Roman" w:hAnsi="Times New Roman" w:eastAsia="仿宋_GB2312"/>
          <w:sz w:val="32"/>
        </w:rPr>
        <w:t>办集团(企业)确定的学校教职工规模。教职工总数*指学校根据岗位聘用的全职为学校工作的人员(含事业编制、人事代理和签订一年以上聘用合同人员)，不含离退休人员。专任教师总数*指具有教师资格，专职从事教学工作的教师。思政课教师数*指具有教师资格，专门从事思想政治课程教学工作的校内专任教师数。体育课专任教师数指具有教师资格，专门从事体育课教学工作的人员数，可包括正式签约聘用的非在编的全职教师。美育课专任教师数(中等职业学校数据，高等职业学校无须填报)指具有教师资格，专门从事音乐、美术和戏剧、戏曲、舞蹈、影视等艺术类美育课教学工作的人员数，可包括正式签约聘用的非在编的全职教师。</w:t>
      </w:r>
      <w:r>
        <w:rPr>
          <w:rFonts w:ascii="Times New Roman" w:hAnsi="Times New Roman" w:eastAsia="仿宋_GB2312"/>
          <w:color w:val="000000"/>
          <w:sz w:val="32"/>
        </w:rPr>
        <w:t>辅导员人数*(高等职业学校数据，中等职业学校无须填报)</w:t>
      </w:r>
      <w:r>
        <w:rPr>
          <w:rFonts w:ascii="Times New Roman" w:hAnsi="Times New Roman" w:eastAsia="仿宋_GB2312"/>
          <w:sz w:val="32"/>
        </w:rPr>
        <w:t>指按照《普通高等学校辅导员队伍建设规定》，学校聘用的在院(系)专职从事大学生日常思想政治教育工作的专职辅导员岗位人员，包括院(系)党委(党总支)副书记、学工组长、团委(团总支)书记等专职工作人员。班主任人数(中等职业学校数据，高等职业学校无须填报)指在中等职业学校现有班级中担任班主任的人数，包括专职和兼职。</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5.参加国家学生体质健康标准测试人数：</w:t>
      </w:r>
      <w:r>
        <w:rPr>
          <w:rFonts w:ascii="Times New Roman" w:hAnsi="Times New Roman" w:eastAsia="仿宋_GB2312"/>
          <w:sz w:val="32"/>
        </w:rPr>
        <w:t>指2022-2023学年学校组织参加国家学生体质健康标准测试的在校生人</w:t>
      </w:r>
      <w:r>
        <w:rPr>
          <w:rFonts w:ascii="Times New Roman" w:hAnsi="Times New Roman" w:eastAsia="仿宋_GB2312"/>
          <w:color w:val="000000"/>
          <w:sz w:val="32"/>
        </w:rPr>
        <w:t>数。学生体质测评合格率指2022-2023学年参加国家学生体</w:t>
      </w:r>
      <w:r>
        <w:rPr>
          <w:rFonts w:ascii="Times New Roman" w:hAnsi="Times New Roman" w:eastAsia="仿宋_GB2312"/>
          <w:sz w:val="32"/>
        </w:rPr>
        <w:t>质健康标准测试成绩为优秀、良好和及格的人数/参加国家学生体质健康标准测试人数×100%。</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6.职业技能等级证书(含职业资格证书)获取人数：</w:t>
      </w:r>
      <w:r>
        <w:rPr>
          <w:rFonts w:ascii="Times New Roman" w:hAnsi="Times New Roman" w:eastAsia="仿宋_GB2312"/>
          <w:sz w:val="32"/>
        </w:rPr>
        <w:t>指获得职业技能等级证书(含职业资格证书)的学生数。</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7.企业提供的校内实践教学设备值*：</w:t>
      </w:r>
      <w:r>
        <w:rPr>
          <w:rFonts w:ascii="Times New Roman" w:hAnsi="Times New Roman" w:eastAsia="仿宋_GB2312"/>
          <w:sz w:val="32"/>
        </w:rPr>
        <w:t>指企业为学校提供的实践教学设备(设备在学校，产权属企业，学校有使用权)的总资产值。按照企业采购原值计算。</w:t>
      </w:r>
    </w:p>
    <w:p>
      <w:pPr>
        <w:spacing w:line="579" w:lineRule="exact"/>
        <w:ind w:firstLine="643" w:firstLineChars="200"/>
        <w:jc w:val="left"/>
        <w:rPr>
          <w:rFonts w:ascii="Times New Roman" w:hAnsi="Times New Roman" w:eastAsia="仿宋_GB2312"/>
          <w:sz w:val="32"/>
        </w:rPr>
      </w:pPr>
      <w:r>
        <w:rPr>
          <w:rFonts w:ascii="Times New Roman" w:hAnsi="Times New Roman" w:eastAsia="仿宋_GB2312"/>
          <w:b/>
          <w:sz w:val="32"/>
        </w:rPr>
        <w:t>8.开放型区域产教融合实践中心：</w:t>
      </w:r>
      <w:r>
        <w:rPr>
          <w:rFonts w:ascii="Times New Roman" w:hAnsi="Times New Roman" w:eastAsia="仿宋_GB2312"/>
          <w:sz w:val="32"/>
        </w:rPr>
        <w:t>分为学校实践中心、公共实践中心、企业实践中心，服务学生实习实训，社会培训、产品中试、工艺改进、技术研发等。</w:t>
      </w:r>
    </w:p>
    <w:p>
      <w:pPr>
        <w:spacing w:line="579" w:lineRule="exact"/>
        <w:ind w:firstLine="643" w:firstLineChars="200"/>
        <w:rPr>
          <w:rFonts w:ascii="Times New Roman" w:hAnsi="Times New Roman" w:eastAsia="仿宋_GB2312"/>
          <w:b/>
          <w:sz w:val="32"/>
        </w:rPr>
      </w:pPr>
      <w:r>
        <w:rPr>
          <w:rFonts w:ascii="Times New Roman" w:hAnsi="Times New Roman" w:eastAsia="仿宋_GB2312"/>
          <w:b/>
          <w:color w:val="000000"/>
          <w:sz w:val="32"/>
        </w:rPr>
        <w:t>9.聘请行业导师人数*：</w:t>
      </w:r>
      <w:r>
        <w:rPr>
          <w:rFonts w:ascii="Times New Roman" w:hAnsi="Times New Roman" w:eastAsia="仿宋_GB2312"/>
          <w:color w:val="000000"/>
          <w:sz w:val="32"/>
        </w:rPr>
        <w:t>指学校2022-2023学年按照聘用</w:t>
      </w:r>
      <w:r>
        <w:rPr>
          <w:rFonts w:ascii="Times New Roman" w:hAnsi="Times New Roman" w:eastAsia="仿宋_GB2312"/>
          <w:sz w:val="32"/>
        </w:rPr>
        <w:t>流程，聘请的校外行业、企事业单位、科研机构等无教师资格证，但参与协助教学工作的高技能人才，聘期为一学期及以上的数量。其中，聘请大国工匠、劳动模范人数指学校2022-2023学年聘请的大国工匠、劳动模范、省级以上技术</w:t>
      </w:r>
      <w:r>
        <w:rPr>
          <w:rFonts w:ascii="Times New Roman" w:hAnsi="Times New Roman" w:eastAsia="仿宋_GB2312"/>
          <w:color w:val="000000"/>
          <w:sz w:val="32"/>
        </w:rPr>
        <w:t>能手的数量；行业导师年课时总量*指企业兼职教师</w:t>
      </w:r>
      <w:r>
        <w:rPr>
          <w:rFonts w:ascii="Times New Roman" w:hAnsi="Times New Roman" w:eastAsia="仿宋_GB2312"/>
          <w:sz w:val="32"/>
        </w:rPr>
        <w:t>2022-2023学年为学生授课课时总量；年支付行业导师课酬*指学校2022年自然年度(2022年1月1日-12月31日)用于支付行业导师担任专业理论课、专业实践课的课时费总金额，行业导师非授课费用不能统计在内。</w:t>
      </w:r>
    </w:p>
    <w:p>
      <w:pPr>
        <w:spacing w:line="579" w:lineRule="exact"/>
        <w:ind w:firstLine="643" w:firstLineChars="200"/>
        <w:rPr>
          <w:rFonts w:hint="eastAsia" w:ascii="Times New Roman" w:hAnsi="Times New Roman" w:eastAsia="仿宋_GB2312"/>
          <w:sz w:val="32"/>
        </w:rPr>
      </w:pPr>
      <w:r>
        <w:rPr>
          <w:rFonts w:ascii="Times New Roman" w:hAnsi="Times New Roman" w:eastAsia="仿宋_GB2312"/>
          <w:b/>
          <w:sz w:val="32"/>
        </w:rPr>
        <w:t>10.年实习专项经费：</w:t>
      </w:r>
      <w:r>
        <w:rPr>
          <w:rFonts w:ascii="Times New Roman" w:hAnsi="Times New Roman" w:eastAsia="仿宋_GB2312"/>
          <w:sz w:val="32"/>
        </w:rPr>
        <w:t>指学校2022年自然年度用于教学计划内的学生实习教学运行(如学生实习的交通费、住宿费、保险费、教师指导费等)以及校内外实习基地建设的经费。其中，年实习责任保险经费为学校购买学生实习责任保险等相关险种的经费开支(统计时段为2022年1月1日-12月31日)。</w:t>
      </w:r>
    </w:p>
    <w:sectPr>
      <w:footerReference r:id="rId3" w:type="default"/>
      <w:pgSz w:w="11900" w:h="16820"/>
      <w:pgMar w:top="2098" w:right="1474" w:bottom="1985" w:left="158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noPunctuationKerning w:val="1"/>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MTMwOTJkNzI5NGVhMDY4MzYyYWQxNmU1NjJhNmYifQ=="/>
  </w:docVars>
  <w:rsids>
    <w:rsidRoot w:val="002E2C28"/>
    <w:rsid w:val="0013726B"/>
    <w:rsid w:val="00151242"/>
    <w:rsid w:val="00253C4F"/>
    <w:rsid w:val="002B4362"/>
    <w:rsid w:val="002D6FE4"/>
    <w:rsid w:val="002E2C28"/>
    <w:rsid w:val="003106CF"/>
    <w:rsid w:val="0034305B"/>
    <w:rsid w:val="00391296"/>
    <w:rsid w:val="003B0130"/>
    <w:rsid w:val="003B603E"/>
    <w:rsid w:val="00401AEF"/>
    <w:rsid w:val="00463362"/>
    <w:rsid w:val="00497951"/>
    <w:rsid w:val="004A66A7"/>
    <w:rsid w:val="005C4D2E"/>
    <w:rsid w:val="006677B1"/>
    <w:rsid w:val="0066795B"/>
    <w:rsid w:val="00671FA6"/>
    <w:rsid w:val="007377BC"/>
    <w:rsid w:val="0074013A"/>
    <w:rsid w:val="00745779"/>
    <w:rsid w:val="00777D91"/>
    <w:rsid w:val="007D3AFD"/>
    <w:rsid w:val="009060A2"/>
    <w:rsid w:val="00934A81"/>
    <w:rsid w:val="00951FEE"/>
    <w:rsid w:val="00970B94"/>
    <w:rsid w:val="009A29BC"/>
    <w:rsid w:val="009B561D"/>
    <w:rsid w:val="009F4BAC"/>
    <w:rsid w:val="009F736E"/>
    <w:rsid w:val="00A21FE7"/>
    <w:rsid w:val="00A55250"/>
    <w:rsid w:val="00AC5C4A"/>
    <w:rsid w:val="00AC7F1B"/>
    <w:rsid w:val="00AF4184"/>
    <w:rsid w:val="00B52C5C"/>
    <w:rsid w:val="00D376FC"/>
    <w:rsid w:val="00D86730"/>
    <w:rsid w:val="00DC7B1D"/>
    <w:rsid w:val="00E016E2"/>
    <w:rsid w:val="00E64873"/>
    <w:rsid w:val="00F3112C"/>
    <w:rsid w:val="01633E9B"/>
    <w:rsid w:val="017D31AE"/>
    <w:rsid w:val="08624EAC"/>
    <w:rsid w:val="0E2C3E8F"/>
    <w:rsid w:val="0F5B4403"/>
    <w:rsid w:val="14DA7B6D"/>
    <w:rsid w:val="18E67433"/>
    <w:rsid w:val="1C5E4627"/>
    <w:rsid w:val="1D13631D"/>
    <w:rsid w:val="21701F90"/>
    <w:rsid w:val="223E3E3C"/>
    <w:rsid w:val="22934188"/>
    <w:rsid w:val="24603846"/>
    <w:rsid w:val="24ED56A6"/>
    <w:rsid w:val="2501742F"/>
    <w:rsid w:val="26414073"/>
    <w:rsid w:val="292D69B8"/>
    <w:rsid w:val="2CC43190"/>
    <w:rsid w:val="302E3742"/>
    <w:rsid w:val="319E0453"/>
    <w:rsid w:val="31F91B2E"/>
    <w:rsid w:val="333472C1"/>
    <w:rsid w:val="375021F0"/>
    <w:rsid w:val="3A2C6014"/>
    <w:rsid w:val="3A6B10EF"/>
    <w:rsid w:val="3B4A33FA"/>
    <w:rsid w:val="3E8E2179"/>
    <w:rsid w:val="41636FC4"/>
    <w:rsid w:val="44641402"/>
    <w:rsid w:val="449A2CFC"/>
    <w:rsid w:val="44B32010"/>
    <w:rsid w:val="44CE6E4A"/>
    <w:rsid w:val="46A460B4"/>
    <w:rsid w:val="4CC823D1"/>
    <w:rsid w:val="50770396"/>
    <w:rsid w:val="50E517A3"/>
    <w:rsid w:val="51510BE7"/>
    <w:rsid w:val="552276FE"/>
    <w:rsid w:val="55A90FF1"/>
    <w:rsid w:val="5641747C"/>
    <w:rsid w:val="56B52866"/>
    <w:rsid w:val="577D2735"/>
    <w:rsid w:val="59B91A1F"/>
    <w:rsid w:val="59C208D3"/>
    <w:rsid w:val="5A4E660B"/>
    <w:rsid w:val="5A7140A7"/>
    <w:rsid w:val="5BE865EB"/>
    <w:rsid w:val="5CE71579"/>
    <w:rsid w:val="5CEE6E94"/>
    <w:rsid w:val="5F160D3B"/>
    <w:rsid w:val="6151138E"/>
    <w:rsid w:val="625C563D"/>
    <w:rsid w:val="62D13935"/>
    <w:rsid w:val="630B7886"/>
    <w:rsid w:val="64DD2A65"/>
    <w:rsid w:val="65110EF3"/>
    <w:rsid w:val="65510F57"/>
    <w:rsid w:val="67F25EF6"/>
    <w:rsid w:val="68282249"/>
    <w:rsid w:val="68B65AA7"/>
    <w:rsid w:val="70090BB2"/>
    <w:rsid w:val="71F80EDE"/>
    <w:rsid w:val="7467234B"/>
    <w:rsid w:val="74FD4A5E"/>
    <w:rsid w:val="7750138D"/>
    <w:rsid w:val="77567DD9"/>
    <w:rsid w:val="77E912C9"/>
    <w:rsid w:val="7B9E105F"/>
    <w:rsid w:val="7F201A75"/>
    <w:rsid w:val="7F256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semiHidden/>
    <w:qFormat/>
    <w:uiPriority w:val="99"/>
  </w:style>
  <w:style w:type="character" w:customStyle="1" w:styleId="13">
    <w:name w:val="批注主题 字符"/>
    <w:basedOn w:val="12"/>
    <w:link w:val="6"/>
    <w:semiHidden/>
    <w:qFormat/>
    <w:uiPriority w:val="99"/>
    <w:rPr>
      <w:b/>
      <w:bCs/>
    </w:rPr>
  </w:style>
  <w:style w:type="character" w:customStyle="1" w:styleId="14">
    <w:name w:val="批注框文本 字符"/>
    <w:basedOn w:val="8"/>
    <w:link w:val="3"/>
    <w:semiHidden/>
    <w:qFormat/>
    <w:uiPriority w:val="99"/>
    <w:rPr>
      <w:sz w:val="18"/>
      <w:szCs w:val="18"/>
    </w:rPr>
  </w:style>
  <w:style w:type="paragraph" w:customStyle="1" w:styleId="15">
    <w:name w:val="Table Text"/>
    <w:basedOn w:val="1"/>
    <w:semiHidden/>
    <w:qFormat/>
    <w:uiPriority w:val="0"/>
    <w:rPr>
      <w:rFonts w:ascii="Arial" w:hAnsi="Arial" w:eastAsia="Arial" w:cs="Arial"/>
      <w:szCs w:val="21"/>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1336</Words>
  <Characters>7617</Characters>
  <Lines>63</Lines>
  <Paragraphs>17</Paragraphs>
  <TotalTime>12</TotalTime>
  <ScaleCrop>false</ScaleCrop>
  <LinksUpToDate>false</LinksUpToDate>
  <CharactersWithSpaces>8936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2023-11-14T14:22:00Z</dcterms:created>
  <dc:creator>Apache POI</dc:creator>
  <cp:lastModifiedBy>紫衣蝴蝶</cp:lastModifiedBy>
  <dcterms:modified xsi:type="dcterms:W3CDTF">2023-11-22T10:11:27Z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2BD5A9B4500B44D1A2D9DC7C0199A4F0_12</vt:lpwstr>
  </property>
</Properties>
</file>